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C27DFE">
      <w:pPr>
        <w:spacing w:line="580" w:lineRule="exact"/>
        <w:jc w:val="center"/>
        <w:rPr>
          <w:rFonts w:ascii="方正小标宋简体" w:eastAsia="方正小标宋简体" w:cs="方正小标宋简体"/>
          <w:sz w:val="44"/>
          <w:szCs w:val="44"/>
          <w:u w:color="000000"/>
        </w:rPr>
      </w:pPr>
    </w:p>
    <w:p w14:paraId="3315E8F2">
      <w:pPr>
        <w:spacing w:line="580" w:lineRule="exact"/>
        <w:jc w:val="center"/>
        <w:rPr>
          <w:rFonts w:ascii="方正小标宋简体" w:eastAsia="方正小标宋简体" w:cs="方正小标宋简体"/>
          <w:sz w:val="44"/>
          <w:szCs w:val="44"/>
          <w:u w:color="000000"/>
        </w:rPr>
      </w:pPr>
    </w:p>
    <w:p w14:paraId="7D2448DC">
      <w:pPr>
        <w:spacing w:line="580" w:lineRule="exact"/>
        <w:jc w:val="center"/>
        <w:rPr>
          <w:rFonts w:ascii="方正小标宋简体" w:eastAsia="方正小标宋简体" w:cs="Times New Roman"/>
          <w:sz w:val="44"/>
          <w:szCs w:val="44"/>
          <w:u w:color="000000"/>
        </w:rPr>
      </w:pPr>
      <w:r>
        <w:rPr>
          <w:rFonts w:hint="eastAsia" w:ascii="方正小标宋简体" w:eastAsia="方正小标宋简体" w:cs="方正小标宋简体"/>
          <w:sz w:val="44"/>
          <w:szCs w:val="44"/>
          <w:u w:color="000000"/>
        </w:rPr>
        <w:t>关于自治县</w:t>
      </w:r>
      <w:r>
        <w:rPr>
          <w:rFonts w:ascii="方正小标宋简体" w:eastAsia="方正小标宋简体" w:cs="方正小标宋简体"/>
          <w:sz w:val="44"/>
          <w:szCs w:val="44"/>
          <w:u w:color="000000"/>
        </w:rPr>
        <w:t>20</w:t>
      </w:r>
      <w:r>
        <w:rPr>
          <w:rFonts w:hint="eastAsia" w:ascii="方正小标宋简体" w:eastAsia="方正小标宋简体" w:cs="方正小标宋简体"/>
          <w:sz w:val="44"/>
          <w:szCs w:val="44"/>
          <w:u w:color="000000"/>
        </w:rPr>
        <w:t>22年财政预算</w:t>
      </w:r>
      <w:r>
        <w:rPr>
          <w:rFonts w:ascii="方正小标宋简体" w:eastAsia="方正小标宋简体" w:cs="方正小标宋简体"/>
          <w:sz w:val="44"/>
          <w:szCs w:val="44"/>
          <w:u w:color="000000"/>
        </w:rPr>
        <w:t>(</w:t>
      </w:r>
      <w:r>
        <w:rPr>
          <w:rFonts w:hint="eastAsia" w:ascii="方正小标宋简体" w:eastAsia="方正小标宋简体" w:cs="方正小标宋简体"/>
          <w:sz w:val="44"/>
          <w:szCs w:val="44"/>
          <w:u w:color="000000"/>
        </w:rPr>
        <w:t>草案</w:t>
      </w:r>
      <w:r>
        <w:rPr>
          <w:rFonts w:ascii="方正小标宋简体" w:eastAsia="方正小标宋简体" w:cs="方正小标宋简体"/>
          <w:sz w:val="44"/>
          <w:szCs w:val="44"/>
          <w:u w:color="000000"/>
        </w:rPr>
        <w:t>)</w:t>
      </w:r>
      <w:r>
        <w:rPr>
          <w:rFonts w:hint="eastAsia" w:ascii="方正小标宋简体" w:eastAsia="方正小标宋简体" w:cs="方正小标宋简体"/>
          <w:sz w:val="44"/>
          <w:szCs w:val="44"/>
          <w:u w:color="000000"/>
        </w:rPr>
        <w:t>的报告</w:t>
      </w:r>
    </w:p>
    <w:p w14:paraId="1F65F49B">
      <w:pPr>
        <w:spacing w:line="580" w:lineRule="exact"/>
        <w:ind w:firstLine="640" w:firstLineChars="200"/>
        <w:jc w:val="center"/>
        <w:rPr>
          <w:rFonts w:ascii="仿宋_GB2312" w:eastAsia="仿宋_GB2312" w:cs="Times New Roman"/>
          <w:sz w:val="32"/>
          <w:szCs w:val="32"/>
          <w:u w:color="000000"/>
        </w:rPr>
      </w:pPr>
    </w:p>
    <w:p w14:paraId="524B5294">
      <w:pPr>
        <w:spacing w:line="580" w:lineRule="exact"/>
        <w:jc w:val="center"/>
        <w:rPr>
          <w:rFonts w:ascii="仿宋_GB2312" w:eastAsia="仿宋_GB2312" w:cs="Times New Roman"/>
          <w:sz w:val="32"/>
          <w:szCs w:val="32"/>
          <w:u w:color="000000"/>
        </w:rPr>
      </w:pPr>
      <w:r>
        <w:rPr>
          <w:rFonts w:ascii="黑体" w:eastAsia="黑体"/>
          <w:sz w:val="32"/>
          <w:szCs w:val="32"/>
          <w:u w:color="000000"/>
        </w:rPr>
        <w:t>——</w:t>
      </w:r>
      <w:r>
        <w:rPr>
          <w:rFonts w:ascii="仿宋_GB2312" w:eastAsia="仿宋_GB2312" w:cs="仿宋_GB2312"/>
          <w:sz w:val="32"/>
          <w:szCs w:val="32"/>
          <w:u w:color="000000"/>
        </w:rPr>
        <w:t>20</w:t>
      </w:r>
      <w:r>
        <w:rPr>
          <w:rFonts w:hint="eastAsia" w:ascii="仿宋_GB2312" w:eastAsia="仿宋_GB2312" w:cs="仿宋_GB2312"/>
          <w:sz w:val="32"/>
          <w:szCs w:val="32"/>
          <w:u w:color="000000"/>
        </w:rPr>
        <w:t>22年</w:t>
      </w:r>
      <w:r>
        <w:rPr>
          <w:rFonts w:hint="eastAsia" w:ascii="仿宋_GB2312" w:eastAsia="仿宋_GB2312" w:cs="仿宋_GB2312"/>
          <w:sz w:val="32"/>
          <w:szCs w:val="32"/>
          <w:u w:color="000000"/>
          <w:lang w:val="en-US" w:eastAsia="zh-CN"/>
        </w:rPr>
        <w:t>3</w:t>
      </w:r>
      <w:r>
        <w:rPr>
          <w:rFonts w:hint="eastAsia" w:ascii="仿宋_GB2312" w:eastAsia="仿宋_GB2312" w:cs="仿宋_GB2312"/>
          <w:sz w:val="32"/>
          <w:szCs w:val="32"/>
          <w:u w:color="000000"/>
        </w:rPr>
        <w:t>月</w:t>
      </w:r>
      <w:r>
        <w:rPr>
          <w:rFonts w:ascii="仿宋_GB2312" w:eastAsia="仿宋_GB2312" w:cs="仿宋_GB2312"/>
          <w:sz w:val="32"/>
          <w:szCs w:val="32"/>
          <w:u w:color="000000"/>
          <w:lang w:val="en-US" w:eastAsia="zh-CN"/>
        </w:rPr>
        <w:t>18</w:t>
      </w:r>
      <w:r>
        <w:rPr>
          <w:rFonts w:hint="eastAsia" w:ascii="仿宋_GB2312" w:eastAsia="仿宋_GB2312" w:cs="仿宋_GB2312"/>
          <w:sz w:val="32"/>
          <w:szCs w:val="32"/>
          <w:u w:color="000000"/>
        </w:rPr>
        <w:t>日在肃南裕固族自治县</w:t>
      </w:r>
    </w:p>
    <w:p w14:paraId="75566437">
      <w:pPr>
        <w:spacing w:line="580" w:lineRule="exact"/>
        <w:jc w:val="center"/>
        <w:rPr>
          <w:rFonts w:ascii="仿宋_GB2312" w:eastAsia="仿宋_GB2312" w:cs="Times New Roman"/>
          <w:sz w:val="32"/>
          <w:szCs w:val="32"/>
          <w:u w:color="000000"/>
        </w:rPr>
      </w:pPr>
      <w:r>
        <w:rPr>
          <w:rFonts w:hint="eastAsia" w:ascii="仿宋_GB2312" w:eastAsia="仿宋_GB2312" w:cs="仿宋_GB2312"/>
          <w:sz w:val="32"/>
          <w:szCs w:val="32"/>
          <w:u w:color="000000"/>
        </w:rPr>
        <w:t>第十九届人大常委会第</w:t>
      </w:r>
      <w:r>
        <w:rPr>
          <w:rFonts w:ascii="仿宋_GB2312" w:eastAsia="仿宋_GB2312" w:cs="仿宋_GB2312"/>
          <w:sz w:val="32"/>
          <w:szCs w:val="32"/>
          <w:u w:color="000000"/>
        </w:rPr>
        <w:t>3</w:t>
      </w:r>
      <w:r>
        <w:rPr>
          <w:rFonts w:hint="eastAsia" w:ascii="仿宋_GB2312" w:eastAsia="仿宋_GB2312" w:cs="仿宋_GB2312"/>
          <w:sz w:val="32"/>
          <w:szCs w:val="32"/>
          <w:u w:color="000000"/>
        </w:rPr>
        <w:t>次会议上</w:t>
      </w:r>
    </w:p>
    <w:p w14:paraId="23326D2D">
      <w:pPr>
        <w:spacing w:line="580" w:lineRule="exact"/>
        <w:ind w:firstLine="640" w:firstLineChars="200"/>
        <w:jc w:val="center"/>
        <w:rPr>
          <w:rFonts w:ascii="仿宋_GB2312" w:eastAsia="仿宋_GB2312" w:cs="Times New Roman"/>
          <w:sz w:val="32"/>
          <w:szCs w:val="32"/>
          <w:u w:color="000000"/>
        </w:rPr>
      </w:pPr>
    </w:p>
    <w:p w14:paraId="0221EE11">
      <w:pPr>
        <w:spacing w:line="580" w:lineRule="exact"/>
        <w:jc w:val="center"/>
        <w:rPr>
          <w:rFonts w:ascii="仿宋_GB2312" w:eastAsia="仿宋_GB2312" w:cs="Times New Roman"/>
          <w:sz w:val="32"/>
          <w:szCs w:val="32"/>
          <w:u w:color="000000"/>
        </w:rPr>
      </w:pPr>
      <w:r>
        <w:rPr>
          <w:rFonts w:hint="eastAsia" w:ascii="仿宋_GB2312" w:eastAsia="仿宋_GB2312" w:cs="仿宋_GB2312"/>
          <w:sz w:val="32"/>
          <w:szCs w:val="32"/>
          <w:u w:color="000000"/>
        </w:rPr>
        <w:t>肃南裕固族自治县财政局局长  孙玉国</w:t>
      </w:r>
    </w:p>
    <w:p w14:paraId="06F10CAD">
      <w:pPr>
        <w:spacing w:line="580" w:lineRule="exact"/>
        <w:ind w:firstLine="640" w:firstLineChars="200"/>
        <w:jc w:val="center"/>
        <w:rPr>
          <w:rFonts w:ascii="仿宋_GB2312" w:eastAsia="仿宋_GB2312" w:cs="Times New Roman"/>
          <w:sz w:val="32"/>
          <w:szCs w:val="32"/>
          <w:u w:color="000000"/>
        </w:rPr>
      </w:pPr>
    </w:p>
    <w:p w14:paraId="7B21E625">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eastAsia="仿宋_GB2312" w:cs="Times New Roman"/>
          <w:sz w:val="32"/>
          <w:szCs w:val="32"/>
        </w:rPr>
      </w:pPr>
      <w:r>
        <w:rPr>
          <w:rFonts w:hint="eastAsia" w:ascii="仿宋_GB2312" w:eastAsia="仿宋_GB2312" w:cs="仿宋_GB2312"/>
          <w:sz w:val="32"/>
          <w:szCs w:val="32"/>
        </w:rPr>
        <w:t>主任、各位副主任，各位委员：</w:t>
      </w:r>
    </w:p>
    <w:p w14:paraId="0F1F4B4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s="仿宋_GB2312"/>
          <w:sz w:val="32"/>
          <w:szCs w:val="32"/>
        </w:rPr>
      </w:pPr>
      <w:r>
        <w:rPr>
          <w:rFonts w:hint="eastAsia" w:ascii="仿宋_GB2312" w:eastAsia="仿宋_GB2312" w:cs="仿宋_GB2312"/>
          <w:sz w:val="32"/>
          <w:szCs w:val="32"/>
        </w:rPr>
        <w:t>受自治县人民政府委托，我向人大常委会报告</w:t>
      </w:r>
      <w:r>
        <w:rPr>
          <w:rFonts w:ascii="仿宋_GB2312" w:eastAsia="仿宋_GB2312" w:cs="仿宋_GB2312"/>
          <w:sz w:val="32"/>
          <w:szCs w:val="32"/>
        </w:rPr>
        <w:t>20</w:t>
      </w:r>
      <w:r>
        <w:rPr>
          <w:rFonts w:hint="eastAsia" w:ascii="仿宋_GB2312" w:eastAsia="仿宋_GB2312" w:cs="仿宋_GB2312"/>
          <w:sz w:val="32"/>
          <w:szCs w:val="32"/>
        </w:rPr>
        <w:t>22年财政预算</w:t>
      </w:r>
      <w:r>
        <w:rPr>
          <w:rFonts w:ascii="仿宋_GB2312" w:eastAsia="仿宋_GB2312" w:cs="仿宋_GB2312"/>
          <w:sz w:val="32"/>
          <w:szCs w:val="32"/>
        </w:rPr>
        <w:t>(</w:t>
      </w:r>
      <w:r>
        <w:rPr>
          <w:rFonts w:hint="eastAsia" w:ascii="仿宋_GB2312" w:eastAsia="仿宋_GB2312" w:cs="仿宋_GB2312"/>
          <w:sz w:val="32"/>
          <w:szCs w:val="32"/>
        </w:rPr>
        <w:t>草案</w:t>
      </w:r>
      <w:r>
        <w:rPr>
          <w:rFonts w:ascii="仿宋_GB2312" w:eastAsia="仿宋_GB2312" w:cs="仿宋_GB2312"/>
          <w:sz w:val="32"/>
          <w:szCs w:val="32"/>
        </w:rPr>
        <w:t>)</w:t>
      </w:r>
      <w:r>
        <w:rPr>
          <w:rFonts w:hint="eastAsia" w:ascii="仿宋_GB2312" w:eastAsia="仿宋_GB2312" w:cs="仿宋_GB2312"/>
          <w:sz w:val="32"/>
          <w:szCs w:val="32"/>
        </w:rPr>
        <w:t>，请予审议，并请列席会议的同志提出意见建议。</w:t>
      </w:r>
    </w:p>
    <w:p w14:paraId="68A3E850">
      <w:pPr>
        <w:spacing w:line="580" w:lineRule="exact"/>
        <w:ind w:firstLine="640" w:firstLineChars="200"/>
        <w:rPr>
          <w:rFonts w:ascii="仿宋_GB2312" w:eastAsia="仿宋_GB2312" w:cs="Times New Roman"/>
          <w:sz w:val="32"/>
          <w:szCs w:val="32"/>
        </w:rPr>
      </w:pPr>
    </w:p>
    <w:p w14:paraId="60A72384">
      <w:pPr>
        <w:widowControl/>
        <w:spacing w:line="580" w:lineRule="exact"/>
        <w:jc w:val="center"/>
        <w:rPr>
          <w:rFonts w:ascii="方正小标宋简体" w:eastAsia="方正小标宋简体" w:cs="方正小标宋简体"/>
          <w:sz w:val="36"/>
          <w:szCs w:val="36"/>
        </w:rPr>
      </w:pPr>
      <w:r>
        <w:rPr>
          <w:rFonts w:ascii="方正小标宋简体" w:eastAsia="方正小标宋简体" w:cs="方正小标宋简体"/>
          <w:sz w:val="36"/>
          <w:szCs w:val="36"/>
        </w:rPr>
        <w:t>2022</w:t>
      </w:r>
      <w:r>
        <w:rPr>
          <w:rFonts w:hint="eastAsia" w:ascii="方正小标宋简体" w:eastAsia="方正小标宋简体" w:cs="方正小标宋简体"/>
          <w:sz w:val="36"/>
          <w:szCs w:val="36"/>
        </w:rPr>
        <w:t>年财政形势及预算编制的指导思想和原则</w:t>
      </w:r>
    </w:p>
    <w:p w14:paraId="200EB2CA">
      <w:pPr>
        <w:keepNext w:val="0"/>
        <w:keepLines w:val="0"/>
        <w:pageBreakBefore w:val="0"/>
        <w:widowControl w:val="0"/>
        <w:kinsoku/>
        <w:wordWrap/>
        <w:overflowPunct/>
        <w:autoSpaceDE/>
        <w:autoSpaceDN/>
        <w:bidi w:val="0"/>
        <w:snapToGrid/>
        <w:spacing w:line="560" w:lineRule="exact"/>
        <w:ind w:firstLine="640" w:firstLineChars="200"/>
        <w:textAlignment w:val="auto"/>
        <w:rPr>
          <w:rFonts w:hint="eastAsia" w:ascii="仿宋_GB2312" w:eastAsia="仿宋_GB2312"/>
          <w:sz w:val="32"/>
          <w:szCs w:val="32"/>
        </w:rPr>
      </w:pPr>
    </w:p>
    <w:p w14:paraId="0AB3ED97">
      <w:pPr>
        <w:keepNext w:val="0"/>
        <w:keepLines w:val="0"/>
        <w:pageBreakBefore w:val="0"/>
        <w:widowControl w:val="0"/>
        <w:kinsoku/>
        <w:wordWrap/>
        <w:overflowPunct/>
        <w:autoSpaceDE/>
        <w:autoSpaceDN/>
        <w:bidi w:val="0"/>
        <w:snapToGrid/>
        <w:spacing w:line="560" w:lineRule="exact"/>
        <w:ind w:firstLine="640" w:firstLineChars="200"/>
        <w:textAlignment w:val="auto"/>
        <w:rPr>
          <w:rFonts w:ascii="仿宋_GB2312" w:eastAsia="仿宋_GB2312"/>
          <w:bCs/>
          <w:sz w:val="32"/>
          <w:szCs w:val="32"/>
        </w:rPr>
      </w:pPr>
      <w:r>
        <w:rPr>
          <w:rFonts w:hint="eastAsia" w:ascii="仿宋_GB2312" w:eastAsia="仿宋_GB2312"/>
          <w:sz w:val="32"/>
          <w:szCs w:val="32"/>
        </w:rPr>
        <w:t>2022年，是新一届政府依法履职的第一年，我们将迎来党的二十大和省</w:t>
      </w:r>
      <w:r>
        <w:rPr>
          <w:rFonts w:hint="eastAsia" w:ascii="仿宋_GB2312" w:eastAsia="仿宋_GB2312"/>
          <w:sz w:val="32"/>
          <w:szCs w:val="32"/>
          <w:lang w:eastAsia="zh-CN"/>
        </w:rPr>
        <w:t>第</w:t>
      </w:r>
      <w:r>
        <w:rPr>
          <w:rFonts w:hint="eastAsia" w:ascii="仿宋_GB2312" w:eastAsia="仿宋_GB2312"/>
          <w:sz w:val="32"/>
          <w:szCs w:val="32"/>
        </w:rPr>
        <w:t>十四次党代会的召开，“十四五”规划也将转入全面推进落实阶段，编制好 2022 年预算，统筹谋划好 2022 年财政工作，对贯彻落实党中央、国务院方针政策和县委、县政府工作部署，促进全县经济高质量发展和社会大局稳定，具有十分重要的意义。</w:t>
      </w:r>
      <w:r>
        <w:rPr>
          <w:rFonts w:hint="eastAsia" w:ascii="仿宋_GB2312" w:eastAsia="仿宋_GB2312"/>
          <w:b/>
          <w:bCs/>
          <w:sz w:val="32"/>
          <w:szCs w:val="32"/>
        </w:rPr>
        <w:t>从积极因素看，</w:t>
      </w:r>
      <w:r>
        <w:rPr>
          <w:rFonts w:hint="eastAsia" w:ascii="仿宋_GB2312" w:eastAsia="仿宋_GB2312"/>
          <w:sz w:val="32"/>
          <w:szCs w:val="32"/>
        </w:rPr>
        <w:t>中央经济工作会议明确提出“七大政策”（宏观政策、微观政策、结构政策、科技政策、改革开放政策、区域政策、社会政策）；省委经济工作会议提出要建设河西走廊各民族共同富裕示范区，推动各民族共同走向现代化。市委经济工作会议进一步明确，肃南县要立足优势和资源禀赋，分阶段确定促进共同富裕的目标举措，积极探索生活富裕富足、公共服务普及普惠、精神自信自强的共同富裕路径，坚定不移走以生态优先、绿色发展为导向的高质量发展之路，推动各民族尽早实现共同富裕，努力为全市乃至全省推动共同富裕做出示范。这些政策利好与我们的发展要求和投资需求高度契合，对于我们谋划建设一批落实国家战略的引领项目、推动产业转型升级的龙头项目、保障和改善民生的重点项目，都是实实在在的重大机遇。</w:t>
      </w:r>
      <w:r>
        <w:rPr>
          <w:rFonts w:hint="eastAsia" w:ascii="仿宋_GB2312" w:eastAsia="仿宋_GB2312"/>
          <w:b/>
          <w:bCs/>
          <w:sz w:val="32"/>
          <w:szCs w:val="32"/>
        </w:rPr>
        <w:t>从面临挑战看，</w:t>
      </w:r>
      <w:r>
        <w:rPr>
          <w:rFonts w:hint="eastAsia" w:ascii="仿宋_GB2312" w:eastAsia="仿宋_GB2312"/>
          <w:bCs/>
          <w:sz w:val="32"/>
          <w:szCs w:val="32"/>
        </w:rPr>
        <w:t>国际国内经济环境复杂多变的局面仍未改变，经济持续增长</w:t>
      </w:r>
      <w:r>
        <w:rPr>
          <w:rFonts w:hint="eastAsia" w:ascii="仿宋_GB2312" w:eastAsia="仿宋_GB2312"/>
          <w:sz w:val="32"/>
          <w:szCs w:val="32"/>
        </w:rPr>
        <w:t>面临需求收缩、供给冲击、预期转弱三重压力，经济恢复态势仍然不稳固。市场需求特别是内需持续恢复动力偏弱，重点工业企业后劲不足、部分领域投资回落等问题仍然存在。疫情防控存在不确定性，经济还面临</w:t>
      </w:r>
      <w:r>
        <w:rPr>
          <w:rFonts w:ascii="仿宋_GB2312" w:eastAsia="仿宋_GB2312"/>
          <w:sz w:val="32"/>
          <w:szCs w:val="32"/>
        </w:rPr>
        <w:t>诸多</w:t>
      </w:r>
      <w:r>
        <w:rPr>
          <w:rFonts w:hint="eastAsia" w:ascii="仿宋_GB2312" w:eastAsia="仿宋_GB2312"/>
          <w:sz w:val="32"/>
          <w:szCs w:val="32"/>
        </w:rPr>
        <w:t>不确定不稳定因素。具体到财政上，</w:t>
      </w:r>
      <w:r>
        <w:rPr>
          <w:rFonts w:hint="eastAsia" w:ascii="仿宋_GB2312" w:eastAsia="仿宋_GB2312"/>
          <w:bCs/>
          <w:sz w:val="32"/>
          <w:szCs w:val="32"/>
        </w:rPr>
        <w:t>受产业结构不合理、工业短板、农牧业效益不高、服务业体系不健全等因素影响，</w:t>
      </w:r>
      <w:r>
        <w:rPr>
          <w:rFonts w:hint="eastAsia" w:ascii="仿宋_GB2312" w:eastAsia="仿宋_GB2312"/>
          <w:sz w:val="32"/>
          <w:szCs w:val="32"/>
        </w:rPr>
        <w:t>财政收入持续保持较大幅度增长的基础尚不牢固，</w:t>
      </w:r>
      <w:r>
        <w:rPr>
          <w:rFonts w:hint="eastAsia" w:ascii="仿宋_GB2312" w:eastAsia="仿宋_GB2312"/>
          <w:bCs/>
          <w:sz w:val="32"/>
          <w:szCs w:val="32"/>
        </w:rPr>
        <w:t>税收增长空间十分有限，非税增收难以为继，</w:t>
      </w:r>
      <w:r>
        <w:rPr>
          <w:rFonts w:hint="eastAsia" w:ascii="仿宋_GB2312" w:eastAsia="仿宋_GB2312"/>
          <w:sz w:val="32"/>
          <w:szCs w:val="32"/>
        </w:rPr>
        <w:t>落实国家发展战略、巩固脱贫攻坚成果、实施乡村振兴战略、保障和改善民生、债务还本付息等支出需求进一步增加，</w:t>
      </w:r>
      <w:r>
        <w:rPr>
          <w:rFonts w:hint="eastAsia" w:ascii="仿宋_GB2312" w:eastAsia="仿宋_GB2312"/>
          <w:bCs/>
          <w:sz w:val="32"/>
          <w:szCs w:val="32"/>
        </w:rPr>
        <w:t>财政保障压力不断加大，面临可用财力少和刚性支出多的“双重考验”，财政运行短期内仍处于紧平衡、硬平衡、难平衡状态。</w:t>
      </w:r>
    </w:p>
    <w:p w14:paraId="05161B3D">
      <w:pPr>
        <w:keepNext w:val="0"/>
        <w:keepLines w:val="0"/>
        <w:pageBreakBefore w:val="0"/>
        <w:widowControl w:val="0"/>
        <w:kinsoku/>
        <w:wordWrap/>
        <w:overflowPunct/>
        <w:autoSpaceDE/>
        <w:autoSpaceDN/>
        <w:bidi w:val="0"/>
        <w:snapToGrid/>
        <w:spacing w:line="560" w:lineRule="exact"/>
        <w:ind w:firstLine="640" w:firstLineChars="200"/>
        <w:textAlignment w:val="auto"/>
        <w:rPr>
          <w:rFonts w:ascii="仿宋_GB2312" w:eastAsia="仿宋_GB2312"/>
          <w:bCs/>
          <w:sz w:val="32"/>
          <w:szCs w:val="32"/>
        </w:rPr>
      </w:pPr>
      <w:r>
        <w:rPr>
          <w:rFonts w:hint="eastAsia" w:ascii="仿宋_GB2312" w:eastAsia="仿宋_GB2312"/>
          <w:bCs/>
          <w:sz w:val="32"/>
          <w:szCs w:val="32"/>
        </w:rPr>
        <w:t>综合研判，全县财政工作既面临重大机遇，也面临严峻挑战，总体看机遇大于挑战。我们将在战略上谋深谋实、保持定力，在战术上善作善成、精准高效，在危机中育先机、于变局中开新局，努力完成本次会议确定的各项目标任务。</w:t>
      </w:r>
    </w:p>
    <w:p w14:paraId="081A7CA4">
      <w:pPr>
        <w:keepNext w:val="0"/>
        <w:keepLines w:val="0"/>
        <w:pageBreakBefore w:val="0"/>
        <w:widowControl w:val="0"/>
        <w:kinsoku/>
        <w:wordWrap/>
        <w:overflowPunct/>
        <w:autoSpaceDE/>
        <w:autoSpaceDN/>
        <w:bidi w:val="0"/>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根据当前面临的财政经济形势，</w:t>
      </w:r>
      <w:r>
        <w:rPr>
          <w:rFonts w:hint="eastAsia" w:ascii="仿宋_GB2312" w:eastAsia="仿宋_GB2312" w:cs="黑体"/>
          <w:b/>
          <w:bCs/>
          <w:sz w:val="32"/>
          <w:szCs w:val="32"/>
        </w:rPr>
        <w:t>2022年预算编制的指导思想是：</w:t>
      </w:r>
      <w:r>
        <w:rPr>
          <w:rFonts w:hint="eastAsia" w:ascii="仿宋_GB2312" w:eastAsia="仿宋_GB2312"/>
          <w:sz w:val="32"/>
          <w:szCs w:val="32"/>
        </w:rPr>
        <w:t>坚持以习近平新时代中国特色社会主义思想为指导，全面贯彻落实党的十九大和十九届历次全会精神，深入</w:t>
      </w:r>
      <w:r>
        <w:rPr>
          <w:rFonts w:ascii="仿宋_GB2312" w:eastAsia="仿宋_GB2312"/>
          <w:sz w:val="32"/>
          <w:szCs w:val="32"/>
        </w:rPr>
        <w:t>学习贯彻</w:t>
      </w:r>
      <w:r>
        <w:rPr>
          <w:rFonts w:hint="eastAsia" w:ascii="仿宋_GB2312" w:eastAsia="仿宋_GB2312"/>
          <w:sz w:val="32"/>
          <w:szCs w:val="32"/>
        </w:rPr>
        <w:t>习近平总书记对甘肃重要讲话指示精神，紧紧围绕</w:t>
      </w:r>
      <w:r>
        <w:rPr>
          <w:rFonts w:hint="eastAsia" w:ascii="仿宋_GB2312" w:eastAsia="仿宋_GB2312" w:cs="仿宋_GB2312"/>
          <w:sz w:val="32"/>
          <w:szCs w:val="32"/>
        </w:rPr>
        <w:t>县第十六次党代会</w:t>
      </w:r>
      <w:r>
        <w:rPr>
          <w:rFonts w:hint="eastAsia" w:ascii="仿宋_GB2312" w:eastAsia="仿宋_GB2312" w:cs="仿宋_GB2312"/>
          <w:sz w:val="32"/>
          <w:szCs w:val="32"/>
          <w:lang w:val="en-US" w:eastAsia="zh-CN"/>
        </w:rPr>
        <w:t>和县委经济工作会</w:t>
      </w:r>
      <w:r>
        <w:rPr>
          <w:rFonts w:ascii="仿宋_GB2312" w:eastAsia="仿宋_GB2312" w:cs="仿宋_GB2312"/>
          <w:sz w:val="32"/>
          <w:szCs w:val="32"/>
          <w:lang w:val="en-US" w:eastAsia="zh-CN"/>
        </w:rPr>
        <w:t>议</w:t>
      </w:r>
      <w:r>
        <w:rPr>
          <w:rFonts w:hint="eastAsia" w:ascii="仿宋_GB2312" w:eastAsia="仿宋_GB2312"/>
          <w:sz w:val="32"/>
          <w:szCs w:val="32"/>
        </w:rPr>
        <w:t>整体部署，坚持稳中求进工作总基调，准确把握财政工作的新形势新任务新要求，牢固树立“过紧日子”的思想，坚持“保重点、压一般、抓统筹、提绩效”，积极推进预算管理一体化改革，加强财政资源统筹，优化支出结构调整，扎实做好“六稳”工作、全面落实“六保”任务，提高财政资金配置效率和使用效益，为自治县经济社会高质量发展提供坚实保障。</w:t>
      </w:r>
    </w:p>
    <w:p w14:paraId="6054405E">
      <w:pPr>
        <w:keepNext w:val="0"/>
        <w:keepLines w:val="0"/>
        <w:pageBreakBefore w:val="0"/>
        <w:widowControl w:val="0"/>
        <w:kinsoku/>
        <w:wordWrap/>
        <w:overflowPunct/>
        <w:autoSpaceDE/>
        <w:autoSpaceDN/>
        <w:bidi w:val="0"/>
        <w:snapToGrid/>
        <w:spacing w:line="560" w:lineRule="exact"/>
        <w:ind w:firstLine="643" w:firstLineChars="200"/>
        <w:textAlignment w:val="auto"/>
        <w:rPr>
          <w:rFonts w:ascii="仿宋_GB2312" w:eastAsia="仿宋_GB2312" w:cs="黑体"/>
          <w:b/>
          <w:bCs/>
          <w:sz w:val="32"/>
          <w:szCs w:val="32"/>
        </w:rPr>
      </w:pPr>
      <w:r>
        <w:rPr>
          <w:rFonts w:ascii="仿宋_GB2312" w:eastAsia="仿宋_GB2312" w:cs="黑体"/>
          <w:b/>
          <w:bCs/>
          <w:sz w:val="32"/>
          <w:szCs w:val="32"/>
        </w:rPr>
        <w:t>2022年预算编制</w:t>
      </w:r>
      <w:r>
        <w:rPr>
          <w:rFonts w:hint="eastAsia" w:ascii="仿宋_GB2312" w:eastAsia="仿宋_GB2312" w:cs="黑体"/>
          <w:b/>
          <w:bCs/>
          <w:sz w:val="32"/>
          <w:szCs w:val="32"/>
        </w:rPr>
        <w:t>的基本原则是：</w:t>
      </w:r>
    </w:p>
    <w:p w14:paraId="480C94D0">
      <w:pPr>
        <w:keepNext w:val="0"/>
        <w:keepLines w:val="0"/>
        <w:pageBreakBefore w:val="0"/>
        <w:widowControl w:val="0"/>
        <w:kinsoku/>
        <w:wordWrap/>
        <w:overflowPunct/>
        <w:autoSpaceDE/>
        <w:autoSpaceDN/>
        <w:bidi w:val="0"/>
        <w:snapToGrid/>
        <w:spacing w:line="560" w:lineRule="exact"/>
        <w:ind w:firstLine="643" w:firstLineChars="200"/>
        <w:textAlignment w:val="auto"/>
        <w:rPr>
          <w:rFonts w:eastAsia="仿宋_GB2312"/>
          <w:kern w:val="0"/>
          <w:sz w:val="32"/>
          <w:szCs w:val="32"/>
        </w:rPr>
      </w:pPr>
      <w:r>
        <w:rPr>
          <w:rFonts w:hint="eastAsia" w:eastAsia="仿宋_GB2312"/>
          <w:b/>
          <w:bCs/>
          <w:kern w:val="0"/>
          <w:sz w:val="32"/>
          <w:szCs w:val="32"/>
        </w:rPr>
        <w:t>——积极稳妥，量力而行，全力确保收支平衡。</w:t>
      </w:r>
      <w:r>
        <w:rPr>
          <w:rFonts w:hint="eastAsia" w:eastAsia="仿宋_GB2312"/>
          <w:kern w:val="0"/>
          <w:sz w:val="32"/>
          <w:szCs w:val="32"/>
        </w:rPr>
        <w:t>坚持收入预算与经济社会发展水平相适应，与积极的财政政策相衔接，充分考虑疫情防控、减税降费等因素影响。</w:t>
      </w:r>
    </w:p>
    <w:p w14:paraId="37C8AEFE">
      <w:pPr>
        <w:keepNext w:val="0"/>
        <w:keepLines w:val="0"/>
        <w:pageBreakBefore w:val="0"/>
        <w:widowControl w:val="0"/>
        <w:kinsoku/>
        <w:wordWrap/>
        <w:overflowPunct/>
        <w:autoSpaceDE/>
        <w:autoSpaceDN/>
        <w:bidi w:val="0"/>
        <w:snapToGrid/>
        <w:spacing w:line="560" w:lineRule="exact"/>
        <w:ind w:firstLine="643" w:firstLineChars="200"/>
        <w:textAlignment w:val="auto"/>
        <w:rPr>
          <w:rFonts w:eastAsia="仿宋_GB2312"/>
          <w:kern w:val="0"/>
          <w:sz w:val="32"/>
          <w:szCs w:val="32"/>
        </w:rPr>
      </w:pPr>
      <w:r>
        <w:rPr>
          <w:rFonts w:hint="eastAsia" w:eastAsia="仿宋_GB2312"/>
          <w:b/>
          <w:bCs/>
          <w:kern w:val="0"/>
          <w:sz w:val="32"/>
          <w:szCs w:val="32"/>
        </w:rPr>
        <w:t>——统筹兼顾，突出重点，集中财力办大事。</w:t>
      </w:r>
      <w:r>
        <w:rPr>
          <w:rFonts w:hint="eastAsia" w:eastAsia="仿宋_GB2312"/>
          <w:kern w:val="0"/>
          <w:sz w:val="32"/>
          <w:szCs w:val="32"/>
        </w:rPr>
        <w:t>坚持政府过紧日子，不断优化支出结构，坚持零基预算，盘活存量，用好增量，加大重点领域和刚性支出保障力度。</w:t>
      </w:r>
    </w:p>
    <w:p w14:paraId="61D1F64B">
      <w:pPr>
        <w:keepNext w:val="0"/>
        <w:keepLines w:val="0"/>
        <w:pageBreakBefore w:val="0"/>
        <w:widowControl w:val="0"/>
        <w:kinsoku/>
        <w:wordWrap/>
        <w:overflowPunct/>
        <w:autoSpaceDE/>
        <w:autoSpaceDN/>
        <w:bidi w:val="0"/>
        <w:snapToGrid/>
        <w:spacing w:line="560" w:lineRule="exact"/>
        <w:ind w:firstLine="643" w:firstLineChars="200"/>
        <w:textAlignment w:val="auto"/>
        <w:rPr>
          <w:rFonts w:eastAsia="仿宋_GB2312"/>
          <w:kern w:val="0"/>
          <w:sz w:val="32"/>
          <w:szCs w:val="32"/>
        </w:rPr>
      </w:pPr>
      <w:r>
        <w:rPr>
          <w:rFonts w:hint="eastAsia" w:eastAsia="仿宋_GB2312"/>
          <w:b/>
          <w:bCs/>
          <w:kern w:val="0"/>
          <w:sz w:val="32"/>
          <w:szCs w:val="32"/>
        </w:rPr>
        <w:t>——讲求绩效，</w:t>
      </w:r>
      <w:r>
        <w:rPr>
          <w:rFonts w:eastAsia="仿宋_GB2312"/>
          <w:b/>
          <w:bCs/>
          <w:kern w:val="0"/>
          <w:sz w:val="32"/>
          <w:szCs w:val="32"/>
        </w:rPr>
        <w:t>优化结构</w:t>
      </w:r>
      <w:r>
        <w:rPr>
          <w:rFonts w:hint="eastAsia" w:eastAsia="仿宋_GB2312"/>
          <w:b/>
          <w:bCs/>
          <w:kern w:val="0"/>
          <w:sz w:val="32"/>
          <w:szCs w:val="32"/>
        </w:rPr>
        <w:t>，提升财政资金效益</w:t>
      </w:r>
      <w:r>
        <w:rPr>
          <w:rFonts w:hint="eastAsia" w:eastAsia="仿宋_GB2312"/>
          <w:kern w:val="0"/>
          <w:sz w:val="32"/>
          <w:szCs w:val="32"/>
        </w:rPr>
        <w:t>。突出绩效导向，将绩效管理嵌入预算管理全流程，加强绩效评价结果应用，大力削减或取消低效无效支出。</w:t>
      </w:r>
    </w:p>
    <w:p w14:paraId="3FFA8700">
      <w:pPr>
        <w:keepNext w:val="0"/>
        <w:keepLines w:val="0"/>
        <w:pageBreakBefore w:val="0"/>
        <w:widowControl w:val="0"/>
        <w:kinsoku/>
        <w:wordWrap/>
        <w:overflowPunct/>
        <w:autoSpaceDE/>
        <w:autoSpaceDN/>
        <w:bidi w:val="0"/>
        <w:snapToGrid/>
        <w:spacing w:line="560" w:lineRule="exact"/>
        <w:ind w:firstLine="643" w:firstLineChars="200"/>
        <w:textAlignment w:val="auto"/>
        <w:rPr>
          <w:rFonts w:eastAsia="仿宋_GB2312"/>
          <w:kern w:val="0"/>
          <w:sz w:val="32"/>
          <w:szCs w:val="32"/>
        </w:rPr>
      </w:pPr>
      <w:r>
        <w:rPr>
          <w:rFonts w:hint="eastAsia" w:eastAsia="仿宋_GB2312"/>
          <w:b/>
          <w:bCs/>
          <w:kern w:val="0"/>
          <w:sz w:val="32"/>
          <w:szCs w:val="32"/>
        </w:rPr>
        <w:t>——量力而行，尽力而为，防范化解政府债务风险。</w:t>
      </w:r>
      <w:r>
        <w:rPr>
          <w:rFonts w:hint="eastAsia" w:eastAsia="仿宋_GB2312"/>
          <w:kern w:val="0"/>
          <w:sz w:val="32"/>
          <w:szCs w:val="32"/>
        </w:rPr>
        <w:t>加强重大建设项目财政承受能力评估，依法依规使用政府债券资金，积极稳妥防范和化解政府债务</w:t>
      </w:r>
      <w:r>
        <w:rPr>
          <w:rFonts w:eastAsia="仿宋_GB2312"/>
          <w:kern w:val="0"/>
          <w:sz w:val="32"/>
          <w:szCs w:val="32"/>
        </w:rPr>
        <w:t>及政府隐性债务</w:t>
      </w:r>
      <w:r>
        <w:rPr>
          <w:rFonts w:hint="eastAsia" w:eastAsia="仿宋_GB2312"/>
          <w:kern w:val="0"/>
          <w:sz w:val="32"/>
          <w:szCs w:val="32"/>
        </w:rPr>
        <w:t>风险。</w:t>
      </w:r>
    </w:p>
    <w:p w14:paraId="0962885C">
      <w:pPr>
        <w:keepNext w:val="0"/>
        <w:keepLines w:val="0"/>
        <w:pageBreakBefore w:val="0"/>
        <w:widowControl/>
        <w:kinsoku/>
        <w:wordWrap/>
        <w:overflowPunct/>
        <w:autoSpaceDE/>
        <w:autoSpaceDN/>
        <w:bidi w:val="0"/>
        <w:snapToGrid/>
        <w:spacing w:line="560" w:lineRule="exact"/>
        <w:jc w:val="center"/>
        <w:textAlignment w:val="auto"/>
        <w:rPr>
          <w:rFonts w:ascii="方正小标宋简体" w:eastAsia="方正小标宋简体" w:cs="方正小标宋简体"/>
          <w:spacing w:val="-6"/>
          <w:sz w:val="36"/>
          <w:szCs w:val="36"/>
        </w:rPr>
      </w:pPr>
    </w:p>
    <w:p w14:paraId="0491BCF6">
      <w:pPr>
        <w:keepNext w:val="0"/>
        <w:keepLines w:val="0"/>
        <w:pageBreakBefore w:val="0"/>
        <w:widowControl/>
        <w:kinsoku/>
        <w:wordWrap/>
        <w:overflowPunct/>
        <w:autoSpaceDE/>
        <w:autoSpaceDN/>
        <w:bidi w:val="0"/>
        <w:snapToGrid/>
        <w:spacing w:line="560" w:lineRule="exact"/>
        <w:jc w:val="center"/>
        <w:textAlignment w:val="auto"/>
        <w:rPr>
          <w:rFonts w:ascii="方正小标宋简体" w:eastAsia="方正小标宋简体" w:cs="方正小标宋简体"/>
          <w:spacing w:val="-6"/>
          <w:sz w:val="36"/>
          <w:szCs w:val="36"/>
        </w:rPr>
      </w:pPr>
      <w:r>
        <w:rPr>
          <w:rFonts w:ascii="方正小标宋简体" w:eastAsia="方正小标宋简体" w:cs="方正小标宋简体"/>
          <w:spacing w:val="-6"/>
          <w:sz w:val="36"/>
          <w:szCs w:val="36"/>
        </w:rPr>
        <w:t>2022</w:t>
      </w:r>
      <w:r>
        <w:rPr>
          <w:rFonts w:hint="eastAsia" w:ascii="方正小标宋简体" w:eastAsia="方正小标宋简体" w:cs="方正小标宋简体"/>
          <w:spacing w:val="-6"/>
          <w:sz w:val="36"/>
          <w:szCs w:val="36"/>
        </w:rPr>
        <w:t>年预算收支安排及保障措施</w:t>
      </w:r>
    </w:p>
    <w:p w14:paraId="3ABB74C9">
      <w:pPr>
        <w:keepNext w:val="0"/>
        <w:keepLines w:val="0"/>
        <w:pageBreakBefore w:val="0"/>
        <w:widowControl w:val="0"/>
        <w:kinsoku/>
        <w:wordWrap/>
        <w:overflowPunct/>
        <w:autoSpaceDE/>
        <w:autoSpaceDN/>
        <w:bidi w:val="0"/>
        <w:snapToGrid/>
        <w:spacing w:line="560" w:lineRule="exact"/>
        <w:ind w:firstLine="640" w:firstLineChars="200"/>
        <w:textAlignment w:val="auto"/>
        <w:rPr>
          <w:rFonts w:ascii="黑体" w:eastAsia="黑体"/>
          <w:sz w:val="32"/>
          <w:szCs w:val="32"/>
        </w:rPr>
      </w:pPr>
    </w:p>
    <w:p w14:paraId="218F92FB">
      <w:pPr>
        <w:keepNext w:val="0"/>
        <w:keepLines w:val="0"/>
        <w:pageBreakBefore w:val="0"/>
        <w:widowControl w:val="0"/>
        <w:kinsoku/>
        <w:wordWrap/>
        <w:overflowPunct/>
        <w:autoSpaceDE/>
        <w:autoSpaceDN/>
        <w:bidi w:val="0"/>
        <w:snapToGrid/>
        <w:spacing w:line="500" w:lineRule="exact"/>
        <w:ind w:firstLine="640" w:firstLineChars="200"/>
        <w:textAlignment w:val="auto"/>
        <w:rPr>
          <w:rFonts w:ascii="黑体" w:eastAsia="黑体"/>
          <w:color w:val="000000"/>
          <w:sz w:val="32"/>
          <w:szCs w:val="32"/>
        </w:rPr>
      </w:pPr>
      <w:r>
        <w:rPr>
          <w:rFonts w:hint="eastAsia" w:ascii="黑体" w:eastAsia="黑体"/>
          <w:color w:val="000000"/>
          <w:sz w:val="32"/>
          <w:szCs w:val="32"/>
        </w:rPr>
        <w:t>一、县级财政收支预算安排建议</w:t>
      </w:r>
    </w:p>
    <w:p w14:paraId="4369FDAC">
      <w:pPr>
        <w:keepNext w:val="0"/>
        <w:keepLines w:val="0"/>
        <w:pageBreakBefore w:val="0"/>
        <w:widowControl w:val="0"/>
        <w:kinsoku/>
        <w:wordWrap/>
        <w:overflowPunct/>
        <w:autoSpaceDE/>
        <w:autoSpaceDN/>
        <w:bidi w:val="0"/>
        <w:snapToGrid/>
        <w:spacing w:line="500" w:lineRule="exact"/>
        <w:ind w:firstLine="640" w:firstLineChars="200"/>
        <w:textAlignment w:val="auto"/>
        <w:rPr>
          <w:rFonts w:ascii="仿宋_GB2312" w:eastAsia="仿宋_GB2312"/>
          <w:color w:val="000000"/>
          <w:sz w:val="32"/>
          <w:szCs w:val="32"/>
        </w:rPr>
      </w:pPr>
      <w:r>
        <w:rPr>
          <w:rFonts w:hint="eastAsia" w:ascii="仿宋_GB2312" w:eastAsia="仿宋_GB2312"/>
          <w:color w:val="000000"/>
          <w:sz w:val="32"/>
          <w:szCs w:val="32"/>
        </w:rPr>
        <w:t>2022年财政工作和预算将紧紧围绕全县发展大局，优化财政支出结构，强化落实保工资、保运转、保基本民生任务，防范化解财政风险，推动经济社会持续健康发展。</w:t>
      </w:r>
    </w:p>
    <w:p w14:paraId="3066F852">
      <w:pPr>
        <w:keepNext w:val="0"/>
        <w:keepLines w:val="0"/>
        <w:pageBreakBefore w:val="0"/>
        <w:widowControl w:val="0"/>
        <w:kinsoku/>
        <w:wordWrap/>
        <w:overflowPunct/>
        <w:autoSpaceDE/>
        <w:autoSpaceDN/>
        <w:bidi w:val="0"/>
        <w:snapToGrid/>
        <w:spacing w:line="500" w:lineRule="exact"/>
        <w:ind w:firstLine="640" w:firstLineChars="200"/>
        <w:textAlignment w:val="auto"/>
        <w:rPr>
          <w:rFonts w:ascii="仿宋_GB2312" w:eastAsia="仿宋_GB2312"/>
          <w:bCs/>
          <w:color w:val="000000"/>
          <w:sz w:val="32"/>
        </w:rPr>
      </w:pPr>
      <w:r>
        <w:rPr>
          <w:rFonts w:hint="eastAsia" w:ascii="仿宋_GB2312" w:eastAsia="仿宋_GB2312"/>
          <w:color w:val="000000"/>
          <w:sz w:val="32"/>
        </w:rPr>
        <w:t>按照县委、县政府确定的重点方向和重点工作，建议县级2022年财政预算草案如下：</w:t>
      </w:r>
    </w:p>
    <w:p w14:paraId="7EEE74C8">
      <w:pPr>
        <w:keepNext w:val="0"/>
        <w:keepLines w:val="0"/>
        <w:pageBreakBefore w:val="0"/>
        <w:widowControl w:val="0"/>
        <w:kinsoku/>
        <w:wordWrap/>
        <w:overflowPunct/>
        <w:autoSpaceDE/>
        <w:autoSpaceDN/>
        <w:bidi w:val="0"/>
        <w:adjustRightInd w:val="0"/>
        <w:snapToGrid/>
        <w:spacing w:line="500" w:lineRule="exact"/>
        <w:ind w:firstLine="643" w:firstLineChars="200"/>
        <w:textAlignment w:val="auto"/>
        <w:rPr>
          <w:rFonts w:ascii="仿宋_GB2312" w:eastAsia="仿宋_GB2312"/>
          <w:color w:val="000000"/>
          <w:sz w:val="32"/>
          <w:szCs w:val="32"/>
        </w:rPr>
      </w:pPr>
      <w:r>
        <w:rPr>
          <w:rFonts w:hint="eastAsia" w:ascii="楷体_GB2312" w:eastAsia="楷体_GB2312"/>
          <w:b/>
          <w:color w:val="000000"/>
          <w:sz w:val="32"/>
          <w:szCs w:val="32"/>
        </w:rPr>
        <w:t>1.一般公共预算。</w:t>
      </w:r>
      <w:r>
        <w:rPr>
          <w:rFonts w:hint="eastAsia" w:ascii="仿宋_GB2312" w:eastAsia="仿宋_GB2312"/>
          <w:color w:val="000000"/>
          <w:sz w:val="32"/>
          <w:szCs w:val="32"/>
        </w:rPr>
        <w:t>建议县级一般公共预算收入28990万元，增长6%，其中：税收收入14265万元，增长7.9%；非税收入14725万元，增长4.2%。</w:t>
      </w:r>
    </w:p>
    <w:p w14:paraId="4B6FE583">
      <w:pPr>
        <w:keepNext w:val="0"/>
        <w:keepLines w:val="0"/>
        <w:pageBreakBefore w:val="0"/>
        <w:widowControl w:val="0"/>
        <w:kinsoku/>
        <w:wordWrap/>
        <w:overflowPunct/>
        <w:autoSpaceDE/>
        <w:autoSpaceDN/>
        <w:bidi w:val="0"/>
        <w:adjustRightInd w:val="0"/>
        <w:snapToGrid/>
        <w:spacing w:line="500" w:lineRule="exact"/>
        <w:ind w:firstLine="640" w:firstLineChars="200"/>
        <w:textAlignment w:val="auto"/>
        <w:rPr>
          <w:rFonts w:ascii="仿宋_GB2312" w:eastAsia="仿宋_GB2312"/>
          <w:color w:val="000000"/>
          <w:sz w:val="32"/>
          <w:szCs w:val="32"/>
        </w:rPr>
      </w:pPr>
      <w:r>
        <w:rPr>
          <w:rFonts w:hint="eastAsia" w:ascii="仿宋_GB2312" w:eastAsia="仿宋_GB2312"/>
          <w:color w:val="000000"/>
          <w:sz w:val="32"/>
          <w:szCs w:val="32"/>
        </w:rPr>
        <w:t>一般公共预算收入</w:t>
      </w:r>
      <w:r>
        <w:rPr>
          <w:rFonts w:ascii="仿宋_GB2312" w:eastAsia="仿宋_GB2312"/>
          <w:color w:val="000000"/>
          <w:sz w:val="32"/>
          <w:szCs w:val="32"/>
        </w:rPr>
        <w:t>28990万元</w:t>
      </w:r>
      <w:r>
        <w:rPr>
          <w:rFonts w:hint="eastAsia" w:ascii="仿宋_GB2312" w:eastAsia="仿宋_GB2312"/>
          <w:color w:val="000000"/>
          <w:sz w:val="32"/>
          <w:szCs w:val="32"/>
        </w:rPr>
        <w:t>加上级各类转移性补助收入</w:t>
      </w:r>
      <w:r>
        <w:rPr>
          <w:rFonts w:ascii="仿宋_GB2312" w:eastAsia="仿宋_GB2312"/>
          <w:color w:val="000000"/>
          <w:sz w:val="32"/>
          <w:szCs w:val="32"/>
        </w:rPr>
        <w:t>78079</w:t>
      </w:r>
      <w:r>
        <w:rPr>
          <w:rFonts w:hint="eastAsia" w:ascii="仿宋_GB2312" w:eastAsia="仿宋_GB2312"/>
          <w:color w:val="000000"/>
          <w:sz w:val="32"/>
          <w:szCs w:val="32"/>
        </w:rPr>
        <w:t>万元</w:t>
      </w:r>
      <w:r>
        <w:rPr>
          <w:rFonts w:ascii="仿宋_GB2312" w:eastAsia="仿宋_GB2312"/>
          <w:color w:val="000000"/>
          <w:sz w:val="32"/>
          <w:szCs w:val="32"/>
        </w:rPr>
        <w:t>（包括</w:t>
      </w:r>
      <w:r>
        <w:rPr>
          <w:rFonts w:ascii="仿宋_GB2312" w:eastAsia="仿宋_GB2312" w:cs="仿宋_GB2312"/>
          <w:color w:val="000000"/>
          <w:sz w:val="32"/>
          <w:szCs w:val="32"/>
        </w:rPr>
        <w:t>上级</w:t>
      </w:r>
      <w:r>
        <w:rPr>
          <w:rFonts w:hint="eastAsia" w:ascii="仿宋_GB2312" w:eastAsia="仿宋_GB2312" w:cs="仿宋_GB2312"/>
          <w:color w:val="000000"/>
          <w:sz w:val="32"/>
          <w:szCs w:val="32"/>
        </w:rPr>
        <w:t>财政提前下达20</w:t>
      </w:r>
      <w:r>
        <w:rPr>
          <w:rFonts w:ascii="仿宋_GB2312" w:eastAsia="仿宋_GB2312" w:cs="仿宋_GB2312"/>
          <w:color w:val="000000"/>
          <w:sz w:val="32"/>
          <w:szCs w:val="32"/>
        </w:rPr>
        <w:t>22</w:t>
      </w:r>
      <w:r>
        <w:rPr>
          <w:rFonts w:hint="eastAsia" w:ascii="仿宋_GB2312" w:eastAsia="仿宋_GB2312" w:cs="仿宋_GB2312"/>
          <w:color w:val="000000"/>
          <w:sz w:val="32"/>
          <w:szCs w:val="32"/>
        </w:rPr>
        <w:t>年度</w:t>
      </w:r>
      <w:r>
        <w:rPr>
          <w:rFonts w:ascii="仿宋_GB2312" w:eastAsia="仿宋_GB2312" w:cs="仿宋_GB2312"/>
          <w:color w:val="000000"/>
          <w:sz w:val="32"/>
          <w:szCs w:val="32"/>
        </w:rPr>
        <w:t>一般公共预算共同财政事权和专项转移支付资金18606</w:t>
      </w:r>
      <w:r>
        <w:rPr>
          <w:rFonts w:hint="eastAsia" w:ascii="仿宋_GB2312" w:eastAsia="仿宋_GB2312" w:cs="仿宋_GB2312"/>
          <w:color w:val="000000"/>
          <w:sz w:val="32"/>
          <w:szCs w:val="32"/>
        </w:rPr>
        <w:t>万元</w:t>
      </w:r>
      <w:r>
        <w:rPr>
          <w:rFonts w:ascii="仿宋_GB2312" w:eastAsia="仿宋_GB2312" w:cs="仿宋_GB2312"/>
          <w:color w:val="000000"/>
          <w:sz w:val="32"/>
          <w:szCs w:val="32"/>
        </w:rPr>
        <w:t>.</w:t>
      </w:r>
      <w:r>
        <w:rPr>
          <w:rFonts w:hint="eastAsia" w:ascii="仿宋_GB2312" w:eastAsia="仿宋_GB2312" w:cs="仿宋_GB2312"/>
          <w:color w:val="000000"/>
          <w:sz w:val="32"/>
          <w:szCs w:val="32"/>
        </w:rPr>
        <w:t>根据财政部提高预算编制完整性，加快支出进度的要求，并要求全额编入预算</w:t>
      </w:r>
      <w:r>
        <w:rPr>
          <w:rFonts w:ascii="仿宋_GB2312" w:eastAsia="仿宋_GB2312"/>
          <w:color w:val="000000"/>
          <w:sz w:val="32"/>
          <w:szCs w:val="32"/>
        </w:rPr>
        <w:t>）</w:t>
      </w:r>
      <w:r>
        <w:rPr>
          <w:rFonts w:hint="eastAsia" w:ascii="仿宋_GB2312" w:eastAsia="仿宋_GB2312"/>
          <w:color w:val="000000"/>
          <w:sz w:val="32"/>
          <w:szCs w:val="32"/>
        </w:rPr>
        <w:t>、</w:t>
      </w:r>
      <w:r>
        <w:rPr>
          <w:rFonts w:ascii="仿宋_GB2312" w:eastAsia="仿宋_GB2312"/>
          <w:color w:val="000000"/>
          <w:sz w:val="32"/>
          <w:szCs w:val="32"/>
        </w:rPr>
        <w:t>上年结转资金45384万元（</w:t>
      </w:r>
      <w:r>
        <w:rPr>
          <w:rFonts w:hint="eastAsia" w:ascii="仿宋_GB2312" w:eastAsia="仿宋_GB2312"/>
          <w:color w:val="000000"/>
          <w:sz w:val="32"/>
          <w:szCs w:val="32"/>
          <w:lang w:val="en-US" w:eastAsia="zh-CN" w:bidi="ar-SA"/>
        </w:rPr>
        <w:t>根据《国务院关于进一步深化预算管理制度改革的意见》国发〔2021〕5号关于“</w:t>
      </w:r>
      <w:r>
        <w:rPr>
          <w:rFonts w:hint="eastAsia" w:ascii="仿宋_GB2312" w:eastAsia="仿宋_GB2312"/>
          <w:color w:val="000000"/>
          <w:sz w:val="32"/>
          <w:szCs w:val="32"/>
          <w:lang w:bidi="ar-SA"/>
        </w:rPr>
        <w:t>规范按权责发生制列支事项，市县级财政国库集中支付结余不再按权责发生制列支</w:t>
      </w:r>
      <w:r>
        <w:rPr>
          <w:rFonts w:hint="eastAsia" w:ascii="仿宋_GB2312" w:eastAsia="仿宋_GB2312"/>
          <w:color w:val="000000"/>
          <w:sz w:val="32"/>
          <w:szCs w:val="32"/>
          <w:lang w:val="en-US" w:eastAsia="zh-CN" w:bidi="ar-SA"/>
        </w:rPr>
        <w:t>”的规定，国库集中支付按照预算单位实际支付额列报支出</w:t>
      </w:r>
      <w:r>
        <w:rPr>
          <w:rFonts w:ascii="仿宋_GB2312" w:eastAsia="仿宋_GB2312"/>
          <w:color w:val="000000"/>
          <w:sz w:val="32"/>
          <w:szCs w:val="32"/>
          <w:lang w:val="en-US" w:eastAsia="zh-CN" w:bidi="ar-SA"/>
        </w:rPr>
        <w:t>，未支付项目资金列入上年结转</w:t>
      </w:r>
      <w:r>
        <w:rPr>
          <w:rFonts w:ascii="仿宋_GB2312" w:eastAsia="仿宋_GB2312"/>
          <w:color w:val="000000"/>
          <w:sz w:val="32"/>
          <w:szCs w:val="32"/>
        </w:rPr>
        <w:t>），</w:t>
      </w:r>
      <w:r>
        <w:rPr>
          <w:rFonts w:hint="eastAsia" w:ascii="仿宋_GB2312" w:eastAsia="仿宋_GB2312"/>
          <w:color w:val="000000"/>
          <w:sz w:val="32"/>
          <w:szCs w:val="32"/>
        </w:rPr>
        <w:t>动用预算稳定调节基金</w:t>
      </w:r>
      <w:r>
        <w:rPr>
          <w:rFonts w:ascii="仿宋_GB2312" w:eastAsia="仿宋_GB2312"/>
          <w:color w:val="000000"/>
          <w:sz w:val="32"/>
          <w:szCs w:val="32"/>
        </w:rPr>
        <w:t>546</w:t>
      </w:r>
      <w:r>
        <w:rPr>
          <w:rFonts w:hint="eastAsia" w:ascii="仿宋_GB2312" w:eastAsia="仿宋_GB2312"/>
          <w:color w:val="000000"/>
          <w:sz w:val="32"/>
          <w:szCs w:val="32"/>
        </w:rPr>
        <w:t>万元，</w:t>
      </w:r>
      <w:r>
        <w:rPr>
          <w:rFonts w:ascii="仿宋_GB2312" w:eastAsia="仿宋_GB2312"/>
          <w:color w:val="000000"/>
          <w:sz w:val="32"/>
          <w:szCs w:val="32"/>
        </w:rPr>
        <w:t>一般公共预算总收入152999</w:t>
      </w:r>
      <w:r>
        <w:rPr>
          <w:rFonts w:hint="eastAsia" w:ascii="仿宋_GB2312" w:eastAsia="仿宋_GB2312"/>
          <w:color w:val="000000"/>
          <w:sz w:val="32"/>
          <w:szCs w:val="32"/>
        </w:rPr>
        <w:t>万元。</w:t>
      </w:r>
    </w:p>
    <w:p w14:paraId="3BDFDDE4">
      <w:pPr>
        <w:keepNext w:val="0"/>
        <w:keepLines w:val="0"/>
        <w:pageBreakBefore w:val="0"/>
        <w:widowControl/>
        <w:kinsoku/>
        <w:wordWrap/>
        <w:overflowPunct/>
        <w:autoSpaceDE/>
        <w:autoSpaceDN/>
        <w:bidi w:val="0"/>
        <w:snapToGrid/>
        <w:spacing w:line="500" w:lineRule="exact"/>
        <w:ind w:firstLine="640" w:firstLineChars="200"/>
        <w:textAlignment w:val="auto"/>
        <w:rPr>
          <w:rFonts w:ascii="仿宋_GB2312" w:eastAsia="仿宋_GB2312" w:cs="仿宋_GB2312"/>
          <w:color w:val="000000"/>
          <w:sz w:val="32"/>
          <w:szCs w:val="32"/>
        </w:rPr>
      </w:pPr>
      <w:r>
        <w:rPr>
          <w:rFonts w:hint="eastAsia" w:ascii="仿宋_GB2312" w:eastAsia="仿宋_GB2312" w:cs="仿宋_GB2312"/>
          <w:color w:val="000000"/>
          <w:sz w:val="32"/>
          <w:szCs w:val="32"/>
        </w:rPr>
        <w:t>一般公共预算总支出</w:t>
      </w:r>
      <w:r>
        <w:rPr>
          <w:rFonts w:ascii="仿宋_GB2312" w:eastAsia="仿宋_GB2312" w:cs="仿宋_GB2312"/>
          <w:color w:val="000000"/>
          <w:sz w:val="32"/>
          <w:szCs w:val="32"/>
        </w:rPr>
        <w:t>152999</w:t>
      </w:r>
      <w:r>
        <w:rPr>
          <w:rFonts w:hint="eastAsia" w:ascii="仿宋_GB2312" w:eastAsia="仿宋_GB2312" w:cs="仿宋_GB2312"/>
          <w:color w:val="000000"/>
          <w:sz w:val="32"/>
          <w:szCs w:val="32"/>
        </w:rPr>
        <w:t>万元，主要包括：（1）县本级安排支出</w:t>
      </w:r>
      <w:r>
        <w:rPr>
          <w:rFonts w:ascii="仿宋_GB2312" w:eastAsia="仿宋_GB2312" w:cs="仿宋_GB2312"/>
          <w:color w:val="000000"/>
          <w:sz w:val="32"/>
          <w:szCs w:val="32"/>
        </w:rPr>
        <w:t>145845</w:t>
      </w:r>
      <w:r>
        <w:rPr>
          <w:rFonts w:hint="eastAsia" w:ascii="仿宋_GB2312" w:eastAsia="仿宋_GB2312" w:cs="仿宋_GB2312"/>
          <w:color w:val="000000"/>
          <w:sz w:val="32"/>
          <w:szCs w:val="32"/>
        </w:rPr>
        <w:t>万元（其中本级财力安排</w:t>
      </w:r>
      <w:r>
        <w:rPr>
          <w:rFonts w:ascii="仿宋_GB2312" w:eastAsia="仿宋_GB2312" w:cs="仿宋_GB2312"/>
          <w:color w:val="000000"/>
          <w:sz w:val="32"/>
          <w:szCs w:val="32"/>
        </w:rPr>
        <w:t>81855</w:t>
      </w:r>
      <w:r>
        <w:rPr>
          <w:rFonts w:hint="eastAsia" w:ascii="仿宋_GB2312" w:eastAsia="仿宋_GB2312" w:cs="仿宋_GB2312"/>
          <w:color w:val="000000"/>
          <w:sz w:val="32"/>
          <w:szCs w:val="32"/>
        </w:rPr>
        <w:t>万元，省级提前下达转移支付</w:t>
      </w:r>
      <w:r>
        <w:rPr>
          <w:rFonts w:ascii="仿宋_GB2312" w:eastAsia="仿宋_GB2312" w:cs="仿宋_GB2312"/>
          <w:color w:val="000000"/>
          <w:sz w:val="32"/>
          <w:szCs w:val="32"/>
        </w:rPr>
        <w:t>资金</w:t>
      </w:r>
      <w:r>
        <w:rPr>
          <w:rFonts w:hint="eastAsia" w:ascii="仿宋_GB2312" w:eastAsia="仿宋_GB2312" w:cs="仿宋_GB2312"/>
          <w:color w:val="000000"/>
          <w:sz w:val="32"/>
          <w:szCs w:val="32"/>
        </w:rPr>
        <w:t>支出</w:t>
      </w:r>
      <w:r>
        <w:rPr>
          <w:rFonts w:ascii="仿宋_GB2312" w:eastAsia="仿宋_GB2312" w:cs="仿宋_GB2312"/>
          <w:color w:val="000000"/>
          <w:sz w:val="32"/>
          <w:szCs w:val="32"/>
        </w:rPr>
        <w:t>18606</w:t>
      </w:r>
      <w:r>
        <w:rPr>
          <w:rFonts w:hint="eastAsia" w:ascii="仿宋_GB2312" w:eastAsia="仿宋_GB2312" w:cs="仿宋_GB2312"/>
          <w:color w:val="000000"/>
          <w:sz w:val="32"/>
          <w:szCs w:val="32"/>
        </w:rPr>
        <w:t>万元</w:t>
      </w:r>
      <w:r>
        <w:rPr>
          <w:rFonts w:ascii="仿宋_GB2312" w:eastAsia="仿宋_GB2312" w:cs="仿宋_GB2312"/>
          <w:color w:val="000000"/>
          <w:sz w:val="32"/>
          <w:szCs w:val="32"/>
        </w:rPr>
        <w:t>，上年结转支出45384万元</w:t>
      </w:r>
      <w:r>
        <w:rPr>
          <w:rFonts w:hint="eastAsia" w:ascii="仿宋_GB2312" w:eastAsia="仿宋_GB2312" w:cs="仿宋_GB2312"/>
          <w:color w:val="000000"/>
          <w:sz w:val="32"/>
          <w:szCs w:val="32"/>
        </w:rPr>
        <w:t>）。（2）转移性支出</w:t>
      </w:r>
      <w:r>
        <w:rPr>
          <w:rFonts w:ascii="仿宋_GB2312" w:eastAsia="仿宋_GB2312" w:cs="仿宋_GB2312"/>
          <w:color w:val="000000"/>
          <w:sz w:val="32"/>
          <w:szCs w:val="32"/>
        </w:rPr>
        <w:t>7154</w:t>
      </w:r>
      <w:r>
        <w:rPr>
          <w:rFonts w:hint="eastAsia" w:ascii="仿宋_GB2312" w:eastAsia="仿宋_GB2312" w:cs="仿宋_GB2312"/>
          <w:color w:val="000000"/>
          <w:sz w:val="32"/>
          <w:szCs w:val="32"/>
        </w:rPr>
        <w:t>万元（其中上解上级支出</w:t>
      </w:r>
      <w:r>
        <w:rPr>
          <w:rFonts w:ascii="仿宋_GB2312" w:eastAsia="仿宋_GB2312" w:cs="仿宋_GB2312"/>
          <w:color w:val="000000"/>
          <w:sz w:val="32"/>
          <w:szCs w:val="32"/>
        </w:rPr>
        <w:t>7154</w:t>
      </w:r>
      <w:r>
        <w:rPr>
          <w:rFonts w:hint="eastAsia" w:ascii="仿宋_GB2312" w:eastAsia="仿宋_GB2312" w:cs="仿宋_GB2312"/>
          <w:color w:val="000000"/>
          <w:sz w:val="32"/>
          <w:szCs w:val="32"/>
        </w:rPr>
        <w:t>万元）。</w:t>
      </w:r>
    </w:p>
    <w:p w14:paraId="2C5F9DE9">
      <w:pPr>
        <w:keepNext w:val="0"/>
        <w:keepLines w:val="0"/>
        <w:pageBreakBefore w:val="0"/>
        <w:widowControl/>
        <w:kinsoku/>
        <w:wordWrap/>
        <w:overflowPunct/>
        <w:autoSpaceDE/>
        <w:autoSpaceDN/>
        <w:bidi w:val="0"/>
        <w:snapToGrid/>
        <w:spacing w:line="500" w:lineRule="exact"/>
        <w:ind w:firstLine="640" w:firstLineChars="200"/>
        <w:textAlignment w:val="auto"/>
        <w:rPr>
          <w:rFonts w:ascii="仿宋_GB2312" w:eastAsia="仿宋_GB2312" w:cs="仿宋_GB2312"/>
          <w:color w:val="000000"/>
          <w:sz w:val="32"/>
          <w:szCs w:val="32"/>
        </w:rPr>
      </w:pPr>
      <w:r>
        <w:rPr>
          <w:rFonts w:hint="eastAsia" w:ascii="仿宋_GB2312" w:eastAsia="仿宋_GB2312" w:cs="仿宋_GB2312"/>
          <w:color w:val="000000"/>
          <w:sz w:val="32"/>
          <w:szCs w:val="32"/>
        </w:rPr>
        <w:t>收支相抵，收支平衡（见附表）。</w:t>
      </w:r>
    </w:p>
    <w:p w14:paraId="12573090">
      <w:pPr>
        <w:keepNext w:val="0"/>
        <w:keepLines w:val="0"/>
        <w:pageBreakBefore w:val="0"/>
        <w:widowControl/>
        <w:kinsoku/>
        <w:wordWrap/>
        <w:overflowPunct/>
        <w:autoSpaceDE/>
        <w:autoSpaceDN/>
        <w:bidi w:val="0"/>
        <w:snapToGrid/>
        <w:spacing w:line="500" w:lineRule="exact"/>
        <w:ind w:firstLine="640" w:firstLineChars="200"/>
        <w:textAlignment w:val="auto"/>
        <w:rPr>
          <w:rFonts w:ascii="仿宋_GB2312" w:eastAsia="仿宋_GB2312"/>
          <w:color w:val="000000"/>
          <w:sz w:val="32"/>
          <w:szCs w:val="32"/>
        </w:rPr>
      </w:pPr>
      <w:r>
        <w:rPr>
          <w:rFonts w:hint="eastAsia" w:ascii="仿宋_GB2312" w:eastAsia="仿宋_GB2312"/>
          <w:color w:val="000000"/>
          <w:sz w:val="32"/>
          <w:szCs w:val="32"/>
        </w:rPr>
        <w:t>县级财力安排支出</w:t>
      </w:r>
      <w:r>
        <w:rPr>
          <w:rFonts w:ascii="仿宋_GB2312" w:eastAsia="仿宋_GB2312"/>
          <w:color w:val="000000"/>
          <w:sz w:val="32"/>
          <w:szCs w:val="32"/>
        </w:rPr>
        <w:t>81855</w:t>
      </w:r>
      <w:r>
        <w:rPr>
          <w:rFonts w:hint="eastAsia" w:ascii="仿宋_GB2312" w:eastAsia="仿宋_GB2312"/>
          <w:color w:val="000000"/>
          <w:sz w:val="32"/>
          <w:szCs w:val="32"/>
        </w:rPr>
        <w:t>万元</w:t>
      </w:r>
      <w:r>
        <w:rPr>
          <w:rFonts w:ascii="仿宋_GB2312" w:eastAsia="仿宋_GB2312"/>
          <w:color w:val="000000"/>
          <w:sz w:val="32"/>
          <w:szCs w:val="32"/>
        </w:rPr>
        <w:t>的主要投向</w:t>
      </w:r>
      <w:r>
        <w:rPr>
          <w:rFonts w:hint="eastAsia" w:ascii="仿宋_GB2312" w:eastAsia="仿宋_GB2312"/>
          <w:color w:val="000000"/>
          <w:sz w:val="32"/>
          <w:szCs w:val="32"/>
        </w:rPr>
        <w:t>是：</w:t>
      </w:r>
    </w:p>
    <w:p w14:paraId="4E9EE2A3">
      <w:pPr>
        <w:keepNext w:val="0"/>
        <w:keepLines w:val="0"/>
        <w:pageBreakBefore w:val="0"/>
        <w:widowControl w:val="0"/>
        <w:kinsoku/>
        <w:wordWrap/>
        <w:overflowPunct/>
        <w:autoSpaceDE/>
        <w:autoSpaceDN/>
        <w:bidi w:val="0"/>
        <w:snapToGrid/>
        <w:spacing w:line="500" w:lineRule="exact"/>
        <w:ind w:firstLine="640" w:firstLineChars="200"/>
        <w:textAlignment w:val="auto"/>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1</w:t>
      </w:r>
      <w:r>
        <w:rPr>
          <w:rFonts w:hint="eastAsia" w:ascii="仿宋_GB2312" w:eastAsia="仿宋_GB2312"/>
          <w:color w:val="000000"/>
          <w:sz w:val="32"/>
          <w:szCs w:val="32"/>
        </w:rPr>
        <w:t>）基本支</w:t>
      </w:r>
      <w:r>
        <w:rPr>
          <w:rFonts w:ascii="仿宋_GB2312" w:eastAsia="仿宋_GB2312"/>
          <w:color w:val="000000"/>
          <w:sz w:val="32"/>
          <w:szCs w:val="32"/>
        </w:rPr>
        <w:t>出</w:t>
      </w:r>
      <w:r>
        <w:rPr>
          <w:rFonts w:hint="eastAsia" w:ascii="仿宋_GB2312" w:eastAsia="仿宋_GB2312"/>
          <w:color w:val="000000"/>
          <w:sz w:val="32"/>
          <w:szCs w:val="32"/>
        </w:rPr>
        <w:t>6.43亿元，占78.6</w:t>
      </w:r>
      <w:r>
        <w:rPr>
          <w:rFonts w:ascii="仿宋_GB2312" w:eastAsia="仿宋_GB2312"/>
          <w:color w:val="000000"/>
          <w:sz w:val="32"/>
          <w:szCs w:val="32"/>
        </w:rPr>
        <w:t>%</w:t>
      </w:r>
      <w:r>
        <w:rPr>
          <w:rFonts w:hint="eastAsia" w:ascii="仿宋_GB2312" w:eastAsia="仿宋_GB2312"/>
          <w:color w:val="000000"/>
          <w:sz w:val="32"/>
          <w:szCs w:val="32"/>
        </w:rPr>
        <w:t>。主要是安排机关事业单位人员工资、津补贴、社会保险缴费、公务员医疗补助、离休人员工资、取暖费、遗属生活费、社会保险缴费等工资福利支出4.58亿元；安排机关运转经费0.66亿元；安排基本民生保障支出1.18亿元，主要包括农牧业产业、乡村振兴战略等支出4582万元，教育支出10</w:t>
      </w:r>
      <w:r>
        <w:rPr>
          <w:rFonts w:ascii="仿宋_GB2312" w:eastAsia="仿宋_GB2312"/>
          <w:color w:val="000000"/>
          <w:sz w:val="32"/>
          <w:szCs w:val="32"/>
        </w:rPr>
        <w:t>59</w:t>
      </w:r>
      <w:r>
        <w:rPr>
          <w:rFonts w:hint="eastAsia" w:ascii="仿宋_GB2312" w:eastAsia="仿宋_GB2312"/>
          <w:color w:val="000000"/>
          <w:sz w:val="32"/>
          <w:szCs w:val="32"/>
        </w:rPr>
        <w:t>万元，文化支出864万元，社会保障支出24</w:t>
      </w:r>
      <w:r>
        <w:rPr>
          <w:rFonts w:ascii="仿宋_GB2312" w:eastAsia="仿宋_GB2312"/>
          <w:color w:val="000000"/>
          <w:sz w:val="32"/>
          <w:szCs w:val="32"/>
        </w:rPr>
        <w:t>72</w:t>
      </w:r>
      <w:r>
        <w:rPr>
          <w:rFonts w:hint="eastAsia" w:ascii="仿宋_GB2312" w:eastAsia="仿宋_GB2312"/>
          <w:color w:val="000000"/>
          <w:sz w:val="32"/>
          <w:szCs w:val="32"/>
        </w:rPr>
        <w:t>万元，卫生健康支出9</w:t>
      </w:r>
      <w:r>
        <w:rPr>
          <w:rFonts w:ascii="仿宋_GB2312" w:eastAsia="仿宋_GB2312"/>
          <w:color w:val="000000"/>
          <w:sz w:val="32"/>
          <w:szCs w:val="32"/>
        </w:rPr>
        <w:t>47</w:t>
      </w:r>
      <w:r>
        <w:rPr>
          <w:rFonts w:hint="eastAsia" w:ascii="仿宋_GB2312" w:eastAsia="仿宋_GB2312"/>
          <w:color w:val="000000"/>
          <w:sz w:val="32"/>
          <w:szCs w:val="32"/>
        </w:rPr>
        <w:t>万元，村级（社区)支出19</w:t>
      </w:r>
      <w:r>
        <w:rPr>
          <w:rFonts w:ascii="仿宋_GB2312" w:eastAsia="仿宋_GB2312"/>
          <w:color w:val="000000"/>
          <w:sz w:val="32"/>
          <w:szCs w:val="32"/>
        </w:rPr>
        <w:t>4</w:t>
      </w:r>
      <w:r>
        <w:rPr>
          <w:rFonts w:hint="eastAsia" w:ascii="仿宋_GB2312" w:eastAsia="仿宋_GB2312"/>
          <w:color w:val="000000"/>
          <w:sz w:val="32"/>
          <w:szCs w:val="32"/>
        </w:rPr>
        <w:t>7万元。</w:t>
      </w:r>
    </w:p>
    <w:p w14:paraId="076EAA33">
      <w:pPr>
        <w:keepNext w:val="0"/>
        <w:keepLines w:val="0"/>
        <w:pageBreakBefore w:val="0"/>
        <w:widowControl w:val="0"/>
        <w:kinsoku/>
        <w:wordWrap/>
        <w:overflowPunct/>
        <w:autoSpaceDE/>
        <w:autoSpaceDN/>
        <w:bidi w:val="0"/>
        <w:snapToGrid/>
        <w:spacing w:line="500" w:lineRule="exact"/>
        <w:ind w:firstLine="640" w:firstLineChars="200"/>
        <w:textAlignment w:val="auto"/>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2</w:t>
      </w:r>
      <w:r>
        <w:rPr>
          <w:rFonts w:hint="eastAsia" w:ascii="仿宋_GB2312" w:eastAsia="仿宋_GB2312"/>
          <w:color w:val="000000"/>
          <w:sz w:val="32"/>
          <w:szCs w:val="32"/>
        </w:rPr>
        <w:t>）项目支出1.</w:t>
      </w:r>
      <w:r>
        <w:rPr>
          <w:rFonts w:ascii="仿宋_GB2312" w:eastAsia="仿宋_GB2312"/>
          <w:color w:val="000000"/>
          <w:sz w:val="32"/>
          <w:szCs w:val="32"/>
        </w:rPr>
        <w:t>7</w:t>
      </w:r>
      <w:r>
        <w:rPr>
          <w:rFonts w:hint="eastAsia" w:ascii="仿宋_GB2312" w:eastAsia="仿宋_GB2312"/>
          <w:color w:val="000000"/>
          <w:sz w:val="32"/>
          <w:szCs w:val="32"/>
        </w:rPr>
        <w:t>亿元，占20.8</w:t>
      </w:r>
      <w:r>
        <w:rPr>
          <w:rFonts w:ascii="仿宋_GB2312" w:eastAsia="仿宋_GB2312"/>
          <w:color w:val="000000"/>
          <w:sz w:val="32"/>
          <w:szCs w:val="32"/>
        </w:rPr>
        <w:t>%</w:t>
      </w:r>
      <w:r>
        <w:rPr>
          <w:rFonts w:hint="eastAsia" w:ascii="仿宋_GB2312" w:eastAsia="仿宋_GB2312"/>
          <w:color w:val="000000"/>
          <w:sz w:val="32"/>
          <w:szCs w:val="32"/>
        </w:rPr>
        <w:t>。主要是：</w:t>
      </w:r>
    </w:p>
    <w:p w14:paraId="0368301D">
      <w:pPr>
        <w:keepNext w:val="0"/>
        <w:keepLines w:val="0"/>
        <w:pageBreakBefore w:val="0"/>
        <w:widowControl w:val="0"/>
        <w:kinsoku/>
        <w:wordWrap/>
        <w:overflowPunct/>
        <w:autoSpaceDE/>
        <w:autoSpaceDN/>
        <w:bidi w:val="0"/>
        <w:snapToGrid/>
        <w:spacing w:line="500" w:lineRule="exact"/>
        <w:ind w:firstLine="643" w:firstLineChars="200"/>
        <w:textAlignment w:val="auto"/>
        <w:rPr>
          <w:rFonts w:ascii="仿宋_GB2312" w:eastAsia="仿宋_GB2312"/>
          <w:bCs/>
          <w:color w:val="000000"/>
          <w:sz w:val="32"/>
          <w:szCs w:val="32"/>
        </w:rPr>
      </w:pPr>
      <w:r>
        <w:rPr>
          <w:rFonts w:hint="eastAsia" w:ascii="仿宋_GB2312" w:eastAsia="仿宋_GB2312"/>
          <w:b/>
          <w:color w:val="000000"/>
          <w:sz w:val="32"/>
          <w:szCs w:val="32"/>
        </w:rPr>
        <w:t>一是</w:t>
      </w:r>
      <w:r>
        <w:rPr>
          <w:rFonts w:hint="eastAsia" w:ascii="仿宋_GB2312" w:eastAsia="仿宋_GB2312"/>
          <w:color w:val="000000"/>
          <w:sz w:val="32"/>
          <w:szCs w:val="32"/>
        </w:rPr>
        <w:t>支持筑牢国家西部生态安全屏障。</w:t>
      </w:r>
      <w:r>
        <w:rPr>
          <w:rFonts w:hint="eastAsia" w:ascii="仿宋_GB2312" w:eastAsia="仿宋_GB2312"/>
          <w:bCs/>
          <w:color w:val="000000"/>
          <w:sz w:val="32"/>
          <w:szCs w:val="32"/>
        </w:rPr>
        <w:t>安排资金</w:t>
      </w:r>
      <w:r>
        <w:rPr>
          <w:rFonts w:ascii="仿宋_GB2312" w:eastAsia="仿宋_GB2312"/>
          <w:bCs/>
          <w:color w:val="000000"/>
          <w:sz w:val="32"/>
          <w:szCs w:val="32"/>
        </w:rPr>
        <w:t>2097</w:t>
      </w:r>
      <w:r>
        <w:rPr>
          <w:rFonts w:hint="eastAsia" w:ascii="仿宋_GB2312" w:eastAsia="仿宋_GB2312"/>
          <w:bCs/>
          <w:color w:val="000000"/>
          <w:sz w:val="32"/>
          <w:szCs w:val="32"/>
        </w:rPr>
        <w:t>万元，重点用于生态保护、</w:t>
      </w:r>
      <w:r>
        <w:rPr>
          <w:rFonts w:hint="eastAsia" w:ascii="仿宋_GB2312" w:eastAsia="仿宋_GB2312"/>
          <w:color w:val="000000"/>
          <w:sz w:val="32"/>
          <w:szCs w:val="32"/>
        </w:rPr>
        <w:t>污染防治、</w:t>
      </w:r>
      <w:r>
        <w:rPr>
          <w:rFonts w:hint="eastAsia" w:ascii="仿宋_GB2312" w:eastAsia="仿宋_GB2312"/>
          <w:bCs/>
          <w:color w:val="000000"/>
          <w:sz w:val="32"/>
          <w:szCs w:val="32"/>
        </w:rPr>
        <w:t>环境监测、垃圾处置、园林绿化等支出。</w:t>
      </w:r>
    </w:p>
    <w:p w14:paraId="200A1D17">
      <w:pPr>
        <w:keepNext w:val="0"/>
        <w:keepLines w:val="0"/>
        <w:pageBreakBefore w:val="0"/>
        <w:widowControl w:val="0"/>
        <w:kinsoku/>
        <w:wordWrap/>
        <w:overflowPunct/>
        <w:autoSpaceDE/>
        <w:autoSpaceDN/>
        <w:bidi w:val="0"/>
        <w:snapToGrid/>
        <w:spacing w:line="500" w:lineRule="exact"/>
        <w:ind w:firstLine="643" w:firstLineChars="200"/>
        <w:textAlignment w:val="auto"/>
        <w:rPr>
          <w:rFonts w:ascii="仿宋_GB2312" w:eastAsia="仿宋_GB2312"/>
          <w:color w:val="000000"/>
          <w:sz w:val="32"/>
          <w:szCs w:val="32"/>
        </w:rPr>
      </w:pPr>
      <w:r>
        <w:rPr>
          <w:rFonts w:hint="eastAsia" w:ascii="仿宋_GB2312" w:eastAsia="仿宋_GB2312"/>
          <w:b/>
          <w:color w:val="000000"/>
          <w:sz w:val="32"/>
          <w:szCs w:val="32"/>
        </w:rPr>
        <w:t>二是</w:t>
      </w:r>
      <w:r>
        <w:rPr>
          <w:rFonts w:hint="eastAsia" w:ascii="仿宋_GB2312" w:eastAsia="仿宋_GB2312"/>
          <w:color w:val="000000"/>
          <w:sz w:val="32"/>
          <w:szCs w:val="32"/>
        </w:rPr>
        <w:t>支持工业和信息化发展。安排资金1265万元，重点用于招商引资、地方经济社会发展、省级开发区建设发展、全县重点项目推进等支出。</w:t>
      </w:r>
    </w:p>
    <w:p w14:paraId="58BF540F">
      <w:pPr>
        <w:keepNext w:val="0"/>
        <w:keepLines w:val="0"/>
        <w:pageBreakBefore w:val="0"/>
        <w:widowControl w:val="0"/>
        <w:kinsoku/>
        <w:wordWrap/>
        <w:overflowPunct/>
        <w:autoSpaceDE/>
        <w:autoSpaceDN/>
        <w:bidi w:val="0"/>
        <w:snapToGrid/>
        <w:spacing w:line="500" w:lineRule="exact"/>
        <w:ind w:firstLine="643" w:firstLineChars="200"/>
        <w:textAlignment w:val="auto"/>
        <w:rPr>
          <w:rFonts w:ascii="仿宋_GB2312" w:eastAsia="仿宋_GB2312"/>
          <w:bCs/>
          <w:color w:val="000000"/>
          <w:sz w:val="32"/>
          <w:szCs w:val="32"/>
        </w:rPr>
      </w:pPr>
      <w:r>
        <w:rPr>
          <w:rFonts w:hint="eastAsia" w:ascii="仿宋_GB2312" w:eastAsia="仿宋_GB2312"/>
          <w:b/>
          <w:color w:val="000000"/>
          <w:sz w:val="32"/>
          <w:szCs w:val="32"/>
        </w:rPr>
        <w:t>三是</w:t>
      </w:r>
      <w:r>
        <w:rPr>
          <w:rFonts w:hint="eastAsia" w:ascii="仿宋_GB2312" w:eastAsia="仿宋_GB2312"/>
          <w:color w:val="000000"/>
          <w:sz w:val="32"/>
          <w:szCs w:val="32"/>
        </w:rPr>
        <w:t>支持文明城市基础设施建设。</w:t>
      </w:r>
      <w:r>
        <w:rPr>
          <w:rFonts w:hint="eastAsia" w:ascii="仿宋_GB2312" w:eastAsia="仿宋_GB2312"/>
          <w:bCs/>
          <w:color w:val="000000"/>
          <w:sz w:val="32"/>
          <w:szCs w:val="32"/>
        </w:rPr>
        <w:t>安排资金500万元，重点用于</w:t>
      </w:r>
      <w:r>
        <w:rPr>
          <w:rFonts w:ascii="仿宋_GB2312" w:eastAsia="仿宋_GB2312"/>
          <w:bCs/>
          <w:color w:val="000000"/>
          <w:sz w:val="32"/>
          <w:szCs w:val="32"/>
        </w:rPr>
        <w:t>县城</w:t>
      </w:r>
      <w:r>
        <w:rPr>
          <w:rFonts w:hint="eastAsia" w:ascii="仿宋_GB2312" w:eastAsia="仿宋_GB2312"/>
          <w:bCs/>
          <w:color w:val="000000"/>
          <w:sz w:val="32"/>
          <w:szCs w:val="32"/>
        </w:rPr>
        <w:t>改造提升。</w:t>
      </w:r>
    </w:p>
    <w:p w14:paraId="05277514">
      <w:pPr>
        <w:keepNext w:val="0"/>
        <w:keepLines w:val="0"/>
        <w:pageBreakBefore w:val="0"/>
        <w:widowControl w:val="0"/>
        <w:kinsoku/>
        <w:wordWrap/>
        <w:overflowPunct/>
        <w:autoSpaceDE/>
        <w:autoSpaceDN/>
        <w:bidi w:val="0"/>
        <w:snapToGrid/>
        <w:spacing w:line="500" w:lineRule="exact"/>
        <w:ind w:firstLine="643" w:firstLineChars="200"/>
        <w:textAlignment w:val="auto"/>
        <w:rPr>
          <w:rFonts w:ascii="仿宋_GB2312" w:eastAsia="仿宋_GB2312"/>
          <w:bCs/>
          <w:color w:val="000000"/>
          <w:sz w:val="32"/>
          <w:szCs w:val="32"/>
        </w:rPr>
      </w:pPr>
      <w:r>
        <w:rPr>
          <w:rFonts w:hint="eastAsia" w:ascii="仿宋_GB2312" w:eastAsia="仿宋_GB2312"/>
          <w:b/>
          <w:bCs/>
          <w:color w:val="000000"/>
          <w:sz w:val="32"/>
          <w:szCs w:val="32"/>
        </w:rPr>
        <w:t>四是</w:t>
      </w:r>
      <w:r>
        <w:rPr>
          <w:rFonts w:hint="eastAsia" w:ascii="仿宋_GB2312" w:eastAsia="仿宋_GB2312"/>
          <w:bCs/>
          <w:color w:val="000000"/>
          <w:sz w:val="32"/>
          <w:szCs w:val="32"/>
        </w:rPr>
        <w:t>支持保障改善民生和公共服务能力建设。安排资金4</w:t>
      </w:r>
      <w:r>
        <w:rPr>
          <w:rFonts w:ascii="仿宋_GB2312" w:eastAsia="仿宋_GB2312"/>
          <w:bCs/>
          <w:color w:val="000000"/>
          <w:sz w:val="32"/>
          <w:szCs w:val="32"/>
        </w:rPr>
        <w:t>605</w:t>
      </w:r>
      <w:r>
        <w:rPr>
          <w:rFonts w:hint="eastAsia" w:ascii="仿宋_GB2312" w:eastAsia="仿宋_GB2312"/>
          <w:bCs/>
          <w:color w:val="000000"/>
          <w:sz w:val="32"/>
          <w:szCs w:val="32"/>
        </w:rPr>
        <w:t>万元，主要用于公共安全、社会治理、公共服务等支出。</w:t>
      </w:r>
    </w:p>
    <w:p w14:paraId="34E79E36">
      <w:pPr>
        <w:keepNext w:val="0"/>
        <w:keepLines w:val="0"/>
        <w:pageBreakBefore w:val="0"/>
        <w:widowControl w:val="0"/>
        <w:kinsoku/>
        <w:wordWrap/>
        <w:overflowPunct/>
        <w:autoSpaceDE/>
        <w:autoSpaceDN/>
        <w:bidi w:val="0"/>
        <w:snapToGrid/>
        <w:spacing w:line="500" w:lineRule="exact"/>
        <w:ind w:firstLine="643" w:firstLineChars="200"/>
        <w:textAlignment w:val="auto"/>
        <w:rPr>
          <w:rFonts w:ascii="仿宋_GB2312" w:eastAsia="仿宋_GB2312"/>
          <w:color w:val="000000"/>
          <w:sz w:val="32"/>
          <w:szCs w:val="32"/>
        </w:rPr>
      </w:pPr>
      <w:r>
        <w:rPr>
          <w:rFonts w:hint="eastAsia" w:ascii="仿宋_GB2312" w:eastAsia="仿宋_GB2312"/>
          <w:b/>
          <w:color w:val="000000"/>
          <w:sz w:val="32"/>
          <w:szCs w:val="32"/>
        </w:rPr>
        <w:t>五是</w:t>
      </w:r>
      <w:r>
        <w:rPr>
          <w:rFonts w:hint="eastAsia" w:ascii="仿宋_GB2312" w:eastAsia="仿宋_GB2312"/>
          <w:color w:val="000000"/>
          <w:sz w:val="32"/>
          <w:szCs w:val="32"/>
        </w:rPr>
        <w:t>偿还政府债务本息。安排资金7886万元，主要用于地方政府债券</w:t>
      </w:r>
      <w:r>
        <w:rPr>
          <w:rFonts w:ascii="仿宋_GB2312" w:eastAsia="仿宋_GB2312"/>
          <w:color w:val="000000"/>
          <w:sz w:val="32"/>
          <w:szCs w:val="32"/>
        </w:rPr>
        <w:t>、</w:t>
      </w:r>
      <w:r>
        <w:rPr>
          <w:rFonts w:hint="eastAsia" w:ascii="仿宋_GB2312" w:eastAsia="仿宋_GB2312"/>
          <w:color w:val="000000"/>
          <w:sz w:val="32"/>
          <w:szCs w:val="32"/>
        </w:rPr>
        <w:t>各类政府贷款</w:t>
      </w:r>
      <w:r>
        <w:rPr>
          <w:rFonts w:hint="eastAsia" w:ascii="仿宋_GB2312" w:eastAsia="仿宋_GB2312"/>
          <w:color w:val="000000"/>
          <w:sz w:val="32"/>
          <w:szCs w:val="32"/>
          <w:lang w:val="en-US" w:eastAsia="zh-CN"/>
        </w:rPr>
        <w:t>项目</w:t>
      </w:r>
      <w:r>
        <w:rPr>
          <w:rFonts w:hint="eastAsia" w:ascii="仿宋_GB2312" w:eastAsia="仿宋_GB2312"/>
          <w:color w:val="000000"/>
          <w:sz w:val="32"/>
          <w:szCs w:val="32"/>
        </w:rPr>
        <w:t>还本付息</w:t>
      </w:r>
      <w:r>
        <w:rPr>
          <w:rFonts w:ascii="仿宋_GB2312" w:eastAsia="仿宋_GB2312"/>
          <w:color w:val="000000"/>
          <w:sz w:val="32"/>
          <w:szCs w:val="32"/>
        </w:rPr>
        <w:t>及化解隐性债务</w:t>
      </w:r>
      <w:r>
        <w:rPr>
          <w:rFonts w:hint="eastAsia" w:ascii="仿宋_GB2312" w:eastAsia="仿宋_GB2312"/>
          <w:color w:val="000000"/>
          <w:sz w:val="32"/>
          <w:szCs w:val="32"/>
        </w:rPr>
        <w:t>。</w:t>
      </w:r>
    </w:p>
    <w:p w14:paraId="2012FADD">
      <w:pPr>
        <w:keepNext w:val="0"/>
        <w:keepLines w:val="0"/>
        <w:pageBreakBefore w:val="0"/>
        <w:widowControl w:val="0"/>
        <w:numPr>
          <w:ilvl w:val="0"/>
          <w:numId w:val="1"/>
        </w:numPr>
        <w:kinsoku/>
        <w:wordWrap/>
        <w:overflowPunct/>
        <w:autoSpaceDE/>
        <w:autoSpaceDN/>
        <w:bidi w:val="0"/>
        <w:adjustRightInd w:val="0"/>
        <w:snapToGrid/>
        <w:spacing w:line="500" w:lineRule="exact"/>
        <w:ind w:left="0" w:firstLine="640" w:firstLineChars="200"/>
        <w:textAlignment w:val="auto"/>
        <w:rPr>
          <w:rFonts w:ascii="仿宋_GB2312" w:eastAsia="仿宋_GB2312"/>
          <w:color w:val="000000"/>
          <w:sz w:val="32"/>
          <w:szCs w:val="32"/>
        </w:rPr>
      </w:pPr>
      <w:r>
        <w:rPr>
          <w:rFonts w:hint="eastAsia" w:ascii="仿宋_GB2312" w:eastAsia="仿宋_GB2312"/>
          <w:color w:val="000000"/>
          <w:sz w:val="32"/>
          <w:szCs w:val="32"/>
        </w:rPr>
        <w:t>安排预备费500万元，占0.6</w:t>
      </w:r>
      <w:r>
        <w:rPr>
          <w:rFonts w:ascii="仿宋_GB2312" w:eastAsia="仿宋_GB2312"/>
          <w:color w:val="000000"/>
          <w:sz w:val="32"/>
          <w:szCs w:val="32"/>
        </w:rPr>
        <w:t>%</w:t>
      </w:r>
      <w:r>
        <w:rPr>
          <w:rFonts w:hint="eastAsia" w:ascii="仿宋_GB2312" w:eastAsia="仿宋_GB2312"/>
          <w:color w:val="000000"/>
          <w:sz w:val="32"/>
          <w:szCs w:val="32"/>
        </w:rPr>
        <w:t>。</w:t>
      </w:r>
    </w:p>
    <w:p w14:paraId="70E32D32">
      <w:pPr>
        <w:keepNext w:val="0"/>
        <w:keepLines w:val="0"/>
        <w:pageBreakBefore w:val="0"/>
        <w:widowControl w:val="0"/>
        <w:kinsoku/>
        <w:wordWrap/>
        <w:overflowPunct/>
        <w:autoSpaceDE/>
        <w:autoSpaceDN/>
        <w:bidi w:val="0"/>
        <w:adjustRightInd w:val="0"/>
        <w:snapToGrid/>
        <w:spacing w:line="500" w:lineRule="exact"/>
        <w:ind w:firstLine="643" w:firstLineChars="200"/>
        <w:textAlignment w:val="auto"/>
        <w:rPr>
          <w:rFonts w:ascii="仿宋_GB2312" w:eastAsia="仿宋_GB2312"/>
          <w:color w:val="000000"/>
          <w:sz w:val="32"/>
          <w:szCs w:val="32"/>
        </w:rPr>
      </w:pPr>
      <w:r>
        <w:rPr>
          <w:rFonts w:hint="eastAsia" w:ascii="楷体_GB2312" w:eastAsia="楷体_GB2312"/>
          <w:b/>
          <w:color w:val="000000"/>
          <w:sz w:val="32"/>
          <w:szCs w:val="32"/>
        </w:rPr>
        <w:t>2.政府性基金预算。</w:t>
      </w:r>
      <w:r>
        <w:rPr>
          <w:rFonts w:hint="eastAsia" w:ascii="仿宋_GB2312" w:eastAsia="仿宋_GB2312" w:cs="仿宋_GB2312"/>
          <w:color w:val="000000"/>
          <w:sz w:val="32"/>
          <w:szCs w:val="32"/>
        </w:rPr>
        <w:t>按照“以收定支、专款专用、结余结转使用”的原则，充分考虑政策调整等因素，</w:t>
      </w:r>
      <w:r>
        <w:rPr>
          <w:rFonts w:hint="eastAsia" w:ascii="仿宋_GB2312" w:eastAsia="仿宋_GB2312"/>
          <w:color w:val="000000"/>
          <w:sz w:val="32"/>
          <w:szCs w:val="32"/>
        </w:rPr>
        <w:t>预计收入555万元，较上年增长0.18</w:t>
      </w:r>
      <w:r>
        <w:rPr>
          <w:rFonts w:ascii="仿宋_GB2312" w:eastAsia="仿宋_GB2312"/>
          <w:color w:val="000000"/>
          <w:sz w:val="32"/>
          <w:szCs w:val="32"/>
        </w:rPr>
        <w:t>%</w:t>
      </w:r>
      <w:r>
        <w:rPr>
          <w:rFonts w:hint="eastAsia" w:ascii="仿宋_GB2312" w:eastAsia="仿宋_GB2312"/>
          <w:color w:val="000000"/>
          <w:sz w:val="32"/>
          <w:szCs w:val="32"/>
        </w:rPr>
        <w:t>。其中：国有土地使用权出让收入500万元，增长3.09%。</w:t>
      </w:r>
    </w:p>
    <w:p w14:paraId="29EECB38">
      <w:pPr>
        <w:keepNext w:val="0"/>
        <w:keepLines w:val="0"/>
        <w:pageBreakBefore w:val="0"/>
        <w:widowControl w:val="0"/>
        <w:kinsoku/>
        <w:wordWrap/>
        <w:overflowPunct/>
        <w:autoSpaceDE/>
        <w:autoSpaceDN/>
        <w:bidi w:val="0"/>
        <w:adjustRightInd w:val="0"/>
        <w:snapToGrid/>
        <w:spacing w:line="500" w:lineRule="exact"/>
        <w:ind w:firstLine="640" w:firstLineChars="200"/>
        <w:textAlignment w:val="auto"/>
        <w:rPr>
          <w:rFonts w:ascii="仿宋_GB2312" w:eastAsia="仿宋_GB2312"/>
          <w:color w:val="000000"/>
          <w:sz w:val="32"/>
          <w:szCs w:val="32"/>
        </w:rPr>
      </w:pPr>
      <w:r>
        <w:rPr>
          <w:rFonts w:hint="eastAsia" w:ascii="仿宋_GB2312" w:eastAsia="仿宋_GB2312"/>
          <w:color w:val="000000"/>
          <w:sz w:val="32"/>
          <w:szCs w:val="32"/>
        </w:rPr>
        <w:t>加政府性基金补助收入1</w:t>
      </w:r>
      <w:r>
        <w:rPr>
          <w:rFonts w:ascii="仿宋_GB2312" w:eastAsia="仿宋_GB2312"/>
          <w:color w:val="000000"/>
          <w:sz w:val="32"/>
          <w:szCs w:val="32"/>
        </w:rPr>
        <w:t>69</w:t>
      </w:r>
      <w:r>
        <w:rPr>
          <w:rFonts w:hint="eastAsia" w:ascii="仿宋_GB2312" w:eastAsia="仿宋_GB2312"/>
          <w:color w:val="000000"/>
          <w:sz w:val="32"/>
          <w:szCs w:val="32"/>
        </w:rPr>
        <w:t>万元，上年结余收入</w:t>
      </w:r>
      <w:r>
        <w:rPr>
          <w:rFonts w:ascii="仿宋_GB2312" w:eastAsia="仿宋_GB2312"/>
          <w:color w:val="000000"/>
          <w:sz w:val="32"/>
          <w:szCs w:val="32"/>
        </w:rPr>
        <w:t>2723</w:t>
      </w:r>
      <w:r>
        <w:rPr>
          <w:rFonts w:hint="eastAsia" w:ascii="仿宋_GB2312" w:eastAsia="仿宋_GB2312"/>
          <w:color w:val="000000"/>
          <w:sz w:val="32"/>
          <w:szCs w:val="32"/>
        </w:rPr>
        <w:t>万元后，合计收入</w:t>
      </w:r>
      <w:r>
        <w:rPr>
          <w:rFonts w:ascii="仿宋_GB2312" w:eastAsia="仿宋_GB2312"/>
          <w:color w:val="000000"/>
          <w:sz w:val="32"/>
          <w:szCs w:val="32"/>
        </w:rPr>
        <w:t>3447</w:t>
      </w:r>
      <w:r>
        <w:rPr>
          <w:rFonts w:hint="eastAsia" w:ascii="仿宋_GB2312" w:eastAsia="仿宋_GB2312"/>
          <w:color w:val="000000"/>
          <w:sz w:val="32"/>
          <w:szCs w:val="32"/>
        </w:rPr>
        <w:t>万元。按收支平衡的原则，相应安排支出</w:t>
      </w:r>
      <w:r>
        <w:rPr>
          <w:rFonts w:ascii="仿宋_GB2312" w:eastAsia="仿宋_GB2312"/>
          <w:color w:val="000000"/>
          <w:sz w:val="32"/>
          <w:szCs w:val="32"/>
        </w:rPr>
        <w:t>3447</w:t>
      </w:r>
      <w:r>
        <w:rPr>
          <w:rFonts w:hint="eastAsia" w:ascii="仿宋_GB2312" w:eastAsia="仿宋_GB2312"/>
          <w:color w:val="000000"/>
          <w:sz w:val="32"/>
          <w:szCs w:val="32"/>
        </w:rPr>
        <w:t>万元，主要用于大中型水库移民后期扶持基金支出、城乡社区支出、其他地方自行试点项目收益、专项债券收入安排的支出、彩票公益金安排的支出等。</w:t>
      </w:r>
    </w:p>
    <w:p w14:paraId="11126B2F">
      <w:pPr>
        <w:keepNext w:val="0"/>
        <w:keepLines w:val="0"/>
        <w:pageBreakBefore w:val="0"/>
        <w:widowControl/>
        <w:kinsoku/>
        <w:wordWrap/>
        <w:overflowPunct/>
        <w:autoSpaceDE/>
        <w:autoSpaceDN/>
        <w:bidi w:val="0"/>
        <w:snapToGrid/>
        <w:spacing w:line="500" w:lineRule="exact"/>
        <w:ind w:firstLine="640" w:firstLineChars="200"/>
        <w:textAlignment w:val="auto"/>
        <w:rPr>
          <w:color w:val="000000"/>
        </w:rPr>
      </w:pPr>
      <w:r>
        <w:rPr>
          <w:rFonts w:hint="eastAsia" w:ascii="仿宋_GB2312" w:eastAsia="仿宋_GB2312" w:cs="仿宋_GB2312"/>
          <w:color w:val="000000"/>
          <w:sz w:val="32"/>
          <w:szCs w:val="32"/>
        </w:rPr>
        <w:t>收支相抵，收支平衡（见附表）。</w:t>
      </w:r>
    </w:p>
    <w:p w14:paraId="647A569B">
      <w:pPr>
        <w:keepNext w:val="0"/>
        <w:keepLines w:val="0"/>
        <w:pageBreakBefore w:val="0"/>
        <w:widowControl w:val="0"/>
        <w:kinsoku/>
        <w:wordWrap/>
        <w:overflowPunct/>
        <w:autoSpaceDE/>
        <w:autoSpaceDN/>
        <w:bidi w:val="0"/>
        <w:adjustRightInd w:val="0"/>
        <w:snapToGrid/>
        <w:spacing w:line="500" w:lineRule="exact"/>
        <w:ind w:firstLine="643" w:firstLineChars="200"/>
        <w:textAlignment w:val="auto"/>
        <w:rPr>
          <w:rFonts w:ascii="仿宋_GB2312" w:eastAsia="仿宋_GB2312"/>
          <w:color w:val="000000"/>
          <w:sz w:val="32"/>
          <w:szCs w:val="32"/>
        </w:rPr>
      </w:pPr>
      <w:r>
        <w:rPr>
          <w:rFonts w:hint="eastAsia" w:ascii="楷体_GB2312" w:eastAsia="楷体_GB2312"/>
          <w:b/>
          <w:color w:val="000000"/>
          <w:sz w:val="32"/>
          <w:szCs w:val="32"/>
        </w:rPr>
        <w:t>3.社会保险基金预算。</w:t>
      </w:r>
      <w:r>
        <w:rPr>
          <w:rFonts w:hint="eastAsia" w:ascii="仿宋_GB2312" w:eastAsia="仿宋_GB2312"/>
          <w:color w:val="000000"/>
          <w:sz w:val="32"/>
          <w:szCs w:val="32"/>
        </w:rPr>
        <w:t>预计收入9808万元，增长3.6%。其中：城乡居民基本养老保险基金收入2271万元，增长5.7%；机关事业单位养老保险基金收入7537万元，增长3%。</w:t>
      </w:r>
    </w:p>
    <w:p w14:paraId="09373834">
      <w:pPr>
        <w:keepNext w:val="0"/>
        <w:keepLines w:val="0"/>
        <w:pageBreakBefore w:val="0"/>
        <w:widowControl w:val="0"/>
        <w:kinsoku/>
        <w:wordWrap/>
        <w:overflowPunct/>
        <w:autoSpaceDE/>
        <w:autoSpaceDN/>
        <w:bidi w:val="0"/>
        <w:adjustRightInd w:val="0"/>
        <w:snapToGrid/>
        <w:spacing w:line="500" w:lineRule="exact"/>
        <w:ind w:firstLine="640" w:firstLineChars="200"/>
        <w:textAlignment w:val="auto"/>
        <w:rPr>
          <w:rFonts w:ascii="仿宋_GB2312" w:eastAsia="仿宋_GB2312"/>
          <w:color w:val="000000"/>
          <w:sz w:val="32"/>
          <w:szCs w:val="32"/>
        </w:rPr>
      </w:pPr>
      <w:r>
        <w:rPr>
          <w:rFonts w:hint="eastAsia" w:ascii="仿宋_GB2312" w:eastAsia="仿宋_GB2312"/>
          <w:color w:val="000000"/>
          <w:sz w:val="32"/>
          <w:szCs w:val="32"/>
        </w:rPr>
        <w:t>收入加上年结转，安排支出1.2亿元，增长9%。其中：城乡居民基本养老保险基金支出2254万元，增长4.9%；机关事业单位养老保险基金支出9861万元，增长11.8%。</w:t>
      </w:r>
    </w:p>
    <w:p w14:paraId="6195815B">
      <w:pPr>
        <w:keepNext w:val="0"/>
        <w:keepLines w:val="0"/>
        <w:pageBreakBefore w:val="0"/>
        <w:widowControl w:val="0"/>
        <w:kinsoku/>
        <w:wordWrap/>
        <w:overflowPunct/>
        <w:autoSpaceDE/>
        <w:autoSpaceDN/>
        <w:bidi w:val="0"/>
        <w:adjustRightInd w:val="0"/>
        <w:snapToGrid/>
        <w:spacing w:line="500" w:lineRule="exact"/>
        <w:ind w:firstLine="643" w:firstLineChars="200"/>
        <w:textAlignment w:val="auto"/>
        <w:rPr>
          <w:rFonts w:ascii="仿宋_GB2312" w:eastAsia="仿宋_GB2312" w:cs="仿宋_GB2312"/>
          <w:color w:val="000000"/>
          <w:sz w:val="32"/>
          <w:szCs w:val="32"/>
        </w:rPr>
      </w:pPr>
      <w:r>
        <w:rPr>
          <w:rFonts w:hint="eastAsia" w:ascii="楷体_GB2312" w:eastAsia="楷体_GB2312"/>
          <w:b/>
          <w:color w:val="000000"/>
          <w:sz w:val="32"/>
          <w:szCs w:val="32"/>
        </w:rPr>
        <w:t>4.国有资本经营预算。</w:t>
      </w:r>
      <w:r>
        <w:rPr>
          <w:rFonts w:hint="eastAsia" w:ascii="仿宋_GB2312" w:eastAsia="仿宋_GB2312" w:cs="仿宋_GB2312"/>
          <w:color w:val="000000"/>
          <w:sz w:val="32"/>
          <w:szCs w:val="32"/>
        </w:rPr>
        <w:t>因我县国有资本经营收入规模小，同时按照省市通知要求，纳入一般公共预算编报。</w:t>
      </w:r>
    </w:p>
    <w:p w14:paraId="433F9666">
      <w:pPr>
        <w:keepNext w:val="0"/>
        <w:keepLines w:val="0"/>
        <w:pageBreakBefore w:val="0"/>
        <w:widowControl w:val="0"/>
        <w:kinsoku/>
        <w:wordWrap/>
        <w:overflowPunct/>
        <w:autoSpaceDE/>
        <w:autoSpaceDN/>
        <w:bidi w:val="0"/>
        <w:adjustRightInd w:val="0"/>
        <w:snapToGrid/>
        <w:spacing w:line="500" w:lineRule="exact"/>
        <w:ind w:firstLine="643" w:firstLineChars="200"/>
        <w:textAlignment w:val="auto"/>
        <w:rPr>
          <w:rFonts w:ascii="楷体_GB2312" w:eastAsia="楷体_GB2312"/>
          <w:b/>
          <w:color w:val="000000"/>
          <w:sz w:val="32"/>
          <w:szCs w:val="32"/>
        </w:rPr>
      </w:pPr>
      <w:r>
        <w:rPr>
          <w:rFonts w:hint="eastAsia" w:ascii="楷体_GB2312" w:eastAsia="楷体_GB2312"/>
          <w:b/>
          <w:color w:val="000000"/>
          <w:sz w:val="32"/>
          <w:szCs w:val="32"/>
        </w:rPr>
        <w:t>5.其它专门类别预算安排情况。</w:t>
      </w:r>
    </w:p>
    <w:p w14:paraId="76F256A0">
      <w:pPr>
        <w:keepNext w:val="0"/>
        <w:keepLines w:val="0"/>
        <w:pageBreakBefore w:val="0"/>
        <w:widowControl w:val="0"/>
        <w:kinsoku/>
        <w:wordWrap/>
        <w:overflowPunct/>
        <w:autoSpaceDE/>
        <w:autoSpaceDN/>
        <w:bidi w:val="0"/>
        <w:snapToGrid/>
        <w:spacing w:line="500" w:lineRule="exact"/>
        <w:ind w:firstLine="640" w:firstLineChars="200"/>
        <w:textAlignment w:val="auto"/>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1</w:t>
      </w:r>
      <w:r>
        <w:rPr>
          <w:rFonts w:hint="eastAsia" w:ascii="仿宋_GB2312" w:eastAsia="仿宋_GB2312"/>
          <w:color w:val="000000"/>
          <w:sz w:val="32"/>
          <w:szCs w:val="32"/>
        </w:rPr>
        <w:t>）纳入财政专户管理的收费收入预算安排情况。</w:t>
      </w:r>
      <w:r>
        <w:rPr>
          <w:rFonts w:ascii="仿宋_GB2312" w:eastAsia="仿宋_GB2312"/>
          <w:color w:val="000000"/>
          <w:sz w:val="32"/>
          <w:szCs w:val="32"/>
        </w:rPr>
        <w:t>2022</w:t>
      </w:r>
      <w:r>
        <w:rPr>
          <w:rFonts w:hint="eastAsia" w:ascii="仿宋_GB2312" w:eastAsia="仿宋_GB2312"/>
          <w:color w:val="000000"/>
          <w:sz w:val="32"/>
          <w:szCs w:val="32"/>
        </w:rPr>
        <w:t>年纳入财政专户管理的收费收入预算</w:t>
      </w:r>
      <w:r>
        <w:rPr>
          <w:rFonts w:hint="eastAsia" w:ascii="仿宋_GB2312" w:eastAsia="仿宋_GB2312"/>
          <w:color w:val="000000"/>
          <w:sz w:val="32"/>
          <w:szCs w:val="32"/>
          <w:lang w:val="en-US" w:eastAsia="zh-CN"/>
        </w:rPr>
        <w:t>14</w:t>
      </w:r>
      <w:r>
        <w:rPr>
          <w:rFonts w:hint="eastAsia" w:ascii="仿宋_GB2312" w:eastAsia="仿宋_GB2312"/>
          <w:color w:val="000000"/>
          <w:sz w:val="32"/>
          <w:szCs w:val="32"/>
        </w:rPr>
        <w:t>万元</w:t>
      </w:r>
      <w:r>
        <w:rPr>
          <w:rFonts w:ascii="仿宋_GB2312" w:eastAsia="仿宋_GB2312"/>
          <w:color w:val="000000"/>
          <w:sz w:val="32"/>
          <w:szCs w:val="32"/>
        </w:rPr>
        <w:t>（教育收费）</w:t>
      </w:r>
      <w:r>
        <w:rPr>
          <w:rFonts w:hint="eastAsia" w:ascii="仿宋_GB2312" w:eastAsia="仿宋_GB2312"/>
          <w:color w:val="000000"/>
          <w:sz w:val="32"/>
          <w:szCs w:val="32"/>
        </w:rPr>
        <w:t>，支出相应安排</w:t>
      </w:r>
      <w:r>
        <w:rPr>
          <w:rFonts w:hint="eastAsia" w:ascii="仿宋_GB2312" w:eastAsia="仿宋_GB2312"/>
          <w:color w:val="000000"/>
          <w:sz w:val="32"/>
          <w:szCs w:val="32"/>
          <w:lang w:val="en-US" w:eastAsia="zh-CN"/>
        </w:rPr>
        <w:t>14</w:t>
      </w:r>
      <w:r>
        <w:rPr>
          <w:rFonts w:hint="eastAsia" w:ascii="仿宋_GB2312" w:eastAsia="仿宋_GB2312"/>
          <w:color w:val="000000"/>
          <w:sz w:val="32"/>
          <w:szCs w:val="32"/>
        </w:rPr>
        <w:t>万元</w:t>
      </w:r>
      <w:r>
        <w:rPr>
          <w:rFonts w:ascii="仿宋_GB2312" w:eastAsia="仿宋_GB2312"/>
          <w:color w:val="000000"/>
          <w:sz w:val="32"/>
          <w:szCs w:val="32"/>
        </w:rPr>
        <w:t>，其中职教中心电大学费支出12万元； 考试费支出2万元</w:t>
      </w:r>
      <w:r>
        <w:rPr>
          <w:rFonts w:hint="eastAsia" w:ascii="仿宋_GB2312" w:eastAsia="仿宋_GB2312"/>
          <w:color w:val="000000"/>
          <w:sz w:val="32"/>
          <w:szCs w:val="32"/>
        </w:rPr>
        <w:t>。</w:t>
      </w:r>
    </w:p>
    <w:p w14:paraId="6DF4A2EA">
      <w:pPr>
        <w:keepNext w:val="0"/>
        <w:keepLines w:val="0"/>
        <w:pageBreakBefore w:val="0"/>
        <w:widowControl w:val="0"/>
        <w:kinsoku/>
        <w:wordWrap/>
        <w:overflowPunct/>
        <w:autoSpaceDE/>
        <w:autoSpaceDN/>
        <w:bidi w:val="0"/>
        <w:adjustRightInd w:val="0"/>
        <w:snapToGrid/>
        <w:spacing w:line="500" w:lineRule="exact"/>
        <w:ind w:firstLine="640" w:firstLineChars="200"/>
        <w:textAlignment w:val="auto"/>
        <w:rPr>
          <w:rFonts w:ascii="仿宋_GB2312" w:eastAsia="仿宋_GB2312"/>
          <w:color w:val="000000"/>
          <w:sz w:val="32"/>
          <w:szCs w:val="32"/>
        </w:rPr>
      </w:pPr>
      <w:r>
        <w:rPr>
          <w:rFonts w:hint="eastAsia" w:ascii="仿宋_GB2312" w:eastAsia="仿宋_GB2312"/>
          <w:color w:val="000000"/>
          <w:sz w:val="32"/>
          <w:szCs w:val="32"/>
        </w:rPr>
        <w:t>（2）“三公”经费支出预算安排情况。2022年县级“三公”经费预算安排720.6万元，减少22.3万元，下降3%。其中：因公出国（境）费2.26万元，下降3%；公务接待费148.23万元，下降3%；公务用车购置及运行维护费570.11万元，下降3%。</w:t>
      </w:r>
    </w:p>
    <w:p w14:paraId="16EDB3E3">
      <w:pPr>
        <w:keepNext w:val="0"/>
        <w:keepLines w:val="0"/>
        <w:pageBreakBefore w:val="0"/>
        <w:widowControl w:val="0"/>
        <w:kinsoku/>
        <w:wordWrap/>
        <w:overflowPunct/>
        <w:autoSpaceDE/>
        <w:autoSpaceDN/>
        <w:bidi w:val="0"/>
        <w:snapToGrid/>
        <w:spacing w:line="500" w:lineRule="exact"/>
        <w:ind w:firstLine="640" w:firstLineChars="200"/>
        <w:textAlignment w:val="auto"/>
        <w:rPr>
          <w:rFonts w:ascii="黑体" w:eastAsia="黑体"/>
          <w:color w:val="000000"/>
          <w:sz w:val="32"/>
          <w:szCs w:val="32"/>
        </w:rPr>
      </w:pPr>
      <w:r>
        <w:rPr>
          <w:rFonts w:hint="eastAsia" w:ascii="黑体" w:eastAsia="黑体"/>
          <w:color w:val="000000"/>
          <w:sz w:val="32"/>
          <w:szCs w:val="32"/>
        </w:rPr>
        <w:t>二、2022年政府债务还本付息预算情况</w:t>
      </w:r>
    </w:p>
    <w:p w14:paraId="52359A19">
      <w:pPr>
        <w:keepNext w:val="0"/>
        <w:keepLines w:val="0"/>
        <w:pageBreakBefore w:val="0"/>
        <w:widowControl w:val="0"/>
        <w:kinsoku/>
        <w:wordWrap/>
        <w:overflowPunct/>
        <w:autoSpaceDE/>
        <w:autoSpaceDN/>
        <w:bidi w:val="0"/>
        <w:snapToGrid/>
        <w:spacing w:line="500" w:lineRule="exact"/>
        <w:ind w:firstLine="640" w:firstLineChars="200"/>
        <w:textAlignment w:val="auto"/>
        <w:rPr>
          <w:rFonts w:ascii="仿宋_GB2312" w:eastAsia="仿宋_GB2312" w:cs="仿宋_GB2312"/>
          <w:color w:val="000000"/>
          <w:sz w:val="32"/>
          <w:szCs w:val="32"/>
        </w:rPr>
      </w:pPr>
      <w:r>
        <w:rPr>
          <w:rFonts w:hint="eastAsia" w:ascii="仿宋_GB2312" w:eastAsia="仿宋_GB2312" w:cs="仿宋_GB2312"/>
          <w:color w:val="000000"/>
          <w:sz w:val="32"/>
          <w:szCs w:val="32"/>
        </w:rPr>
        <w:t>2021年省</w:t>
      </w:r>
      <w:r>
        <w:rPr>
          <w:rFonts w:hint="eastAsia" w:ascii="仿宋_GB2312" w:eastAsia="仿宋_GB2312" w:cs="仿宋_GB2312"/>
          <w:color w:val="000000"/>
          <w:sz w:val="32"/>
          <w:szCs w:val="32"/>
          <w:lang w:val="en-US" w:eastAsia="zh-CN"/>
        </w:rPr>
        <w:t>财政厅</w:t>
      </w:r>
      <w:bookmarkStart w:id="0" w:name="_GoBack"/>
      <w:bookmarkEnd w:id="0"/>
      <w:r>
        <w:rPr>
          <w:rFonts w:hint="eastAsia" w:ascii="仿宋_GB2312" w:eastAsia="仿宋_GB2312" w:cs="仿宋_GB2312"/>
          <w:color w:val="000000"/>
          <w:sz w:val="32"/>
          <w:szCs w:val="32"/>
        </w:rPr>
        <w:t>核定我县政府债务限额为6.82亿元，其中：一般债务限额4.62亿元、专项债务限额2.2亿元。止目前，我县政府性债务余额6</w:t>
      </w:r>
      <w:r>
        <w:rPr>
          <w:rFonts w:ascii="仿宋_GB2312" w:eastAsia="仿宋_GB2312" w:cs="仿宋_GB2312"/>
          <w:color w:val="000000"/>
          <w:sz w:val="32"/>
          <w:szCs w:val="32"/>
        </w:rPr>
        <w:t>.76亿元</w:t>
      </w:r>
      <w:r>
        <w:rPr>
          <w:rFonts w:hint="eastAsia" w:ascii="仿宋_GB2312" w:eastAsia="仿宋_GB2312" w:cs="仿宋_GB2312"/>
          <w:color w:val="000000"/>
          <w:sz w:val="32"/>
          <w:szCs w:val="32"/>
        </w:rPr>
        <w:t>，其中：政府债务6</w:t>
      </w:r>
      <w:r>
        <w:rPr>
          <w:rFonts w:ascii="仿宋_GB2312" w:eastAsia="仿宋_GB2312" w:cs="仿宋_GB2312"/>
          <w:color w:val="000000"/>
          <w:sz w:val="32"/>
          <w:szCs w:val="32"/>
        </w:rPr>
        <w:t>.36亿元</w:t>
      </w:r>
      <w:r>
        <w:rPr>
          <w:rFonts w:hint="eastAsia" w:ascii="仿宋_GB2312" w:eastAsia="仿宋_GB2312" w:cs="仿宋_GB2312"/>
          <w:color w:val="000000"/>
          <w:sz w:val="32"/>
          <w:szCs w:val="32"/>
        </w:rPr>
        <w:t>（一般债务</w:t>
      </w:r>
      <w:r>
        <w:rPr>
          <w:rFonts w:ascii="仿宋_GB2312" w:eastAsia="仿宋_GB2312" w:cs="仿宋_GB2312"/>
          <w:color w:val="000000"/>
          <w:sz w:val="32"/>
          <w:szCs w:val="32"/>
        </w:rPr>
        <w:t>3.84亿元</w:t>
      </w:r>
      <w:r>
        <w:rPr>
          <w:rFonts w:hint="eastAsia" w:ascii="仿宋_GB2312" w:eastAsia="仿宋_GB2312" w:cs="仿宋_GB2312"/>
          <w:color w:val="000000"/>
          <w:sz w:val="32"/>
          <w:szCs w:val="32"/>
        </w:rPr>
        <w:t>，专项债务2</w:t>
      </w:r>
      <w:r>
        <w:rPr>
          <w:rFonts w:ascii="仿宋_GB2312" w:eastAsia="仿宋_GB2312" w:cs="仿宋_GB2312"/>
          <w:color w:val="000000"/>
          <w:sz w:val="32"/>
          <w:szCs w:val="32"/>
        </w:rPr>
        <w:t>.52亿元</w:t>
      </w:r>
      <w:r>
        <w:rPr>
          <w:rFonts w:hint="eastAsia" w:ascii="仿宋_GB2312" w:eastAsia="仿宋_GB2312" w:cs="仿宋_GB2312"/>
          <w:color w:val="000000"/>
          <w:sz w:val="32"/>
          <w:szCs w:val="32"/>
        </w:rPr>
        <w:t>）,政府或有债务</w:t>
      </w:r>
      <w:r>
        <w:rPr>
          <w:rFonts w:ascii="仿宋_GB2312" w:eastAsia="仿宋_GB2312" w:cs="仿宋_GB2312"/>
          <w:color w:val="000000"/>
          <w:sz w:val="32"/>
          <w:szCs w:val="32"/>
        </w:rPr>
        <w:t>0.4亿元</w:t>
      </w:r>
      <w:r>
        <w:rPr>
          <w:rFonts w:hint="eastAsia" w:ascii="仿宋_GB2312" w:eastAsia="仿宋_GB2312" w:cs="仿宋_GB2312"/>
          <w:color w:val="000000"/>
          <w:sz w:val="32"/>
          <w:szCs w:val="32"/>
        </w:rPr>
        <w:t>。政府隐性债务余额为</w:t>
      </w:r>
      <w:r>
        <w:rPr>
          <w:rFonts w:ascii="仿宋_GB2312" w:eastAsia="仿宋_GB2312" w:cs="仿宋_GB2312"/>
          <w:color w:val="000000"/>
          <w:sz w:val="32"/>
          <w:szCs w:val="32"/>
        </w:rPr>
        <w:t>0.39亿元</w:t>
      </w:r>
      <w:r>
        <w:rPr>
          <w:rFonts w:hint="eastAsia" w:ascii="仿宋_GB2312" w:eastAsia="仿宋_GB2312" w:cs="仿宋_GB2312"/>
          <w:color w:val="000000"/>
          <w:sz w:val="32"/>
          <w:szCs w:val="32"/>
        </w:rPr>
        <w:t>，其中：裕苑房地产开发有限公司游牧民定居工程中国农业发展银行中长期商业贷款</w:t>
      </w:r>
      <w:r>
        <w:rPr>
          <w:rFonts w:ascii="仿宋_GB2312" w:eastAsia="仿宋_GB2312" w:cs="仿宋_GB2312"/>
          <w:color w:val="000000"/>
          <w:sz w:val="32"/>
          <w:szCs w:val="32"/>
        </w:rPr>
        <w:t>0.31亿元</w:t>
      </w:r>
      <w:r>
        <w:rPr>
          <w:rFonts w:hint="eastAsia" w:ascii="仿宋_GB2312" w:eastAsia="仿宋_GB2312" w:cs="仿宋_GB2312"/>
          <w:color w:val="000000"/>
          <w:sz w:val="32"/>
          <w:szCs w:val="32"/>
        </w:rPr>
        <w:t>；供销企业政策性挂账</w:t>
      </w:r>
      <w:r>
        <w:rPr>
          <w:rFonts w:ascii="仿宋_GB2312" w:eastAsia="仿宋_GB2312" w:cs="仿宋_GB2312"/>
          <w:color w:val="000000"/>
          <w:sz w:val="32"/>
          <w:szCs w:val="32"/>
        </w:rPr>
        <w:t>0.05亿元</w:t>
      </w:r>
      <w:r>
        <w:rPr>
          <w:rFonts w:hint="eastAsia" w:ascii="仿宋_GB2312" w:eastAsia="仿宋_GB2312" w:cs="仿宋_GB2312"/>
          <w:color w:val="000000"/>
          <w:sz w:val="32"/>
          <w:szCs w:val="32"/>
        </w:rPr>
        <w:t>；粮食企业政策性挂账</w:t>
      </w:r>
      <w:r>
        <w:rPr>
          <w:rFonts w:ascii="仿宋_GB2312" w:eastAsia="仿宋_GB2312" w:cs="仿宋_GB2312"/>
          <w:color w:val="000000"/>
          <w:sz w:val="32"/>
          <w:szCs w:val="32"/>
        </w:rPr>
        <w:t>0.03亿元</w:t>
      </w:r>
      <w:r>
        <w:rPr>
          <w:rFonts w:hint="eastAsia" w:ascii="仿宋_GB2312" w:eastAsia="仿宋_GB2312" w:cs="仿宋_GB2312"/>
          <w:color w:val="000000"/>
          <w:sz w:val="32"/>
          <w:szCs w:val="32"/>
        </w:rPr>
        <w:t>。</w:t>
      </w:r>
    </w:p>
    <w:p w14:paraId="78D5060C">
      <w:pPr>
        <w:pStyle w:val="13"/>
        <w:keepNext w:val="0"/>
        <w:keepLines w:val="0"/>
        <w:pageBreakBefore w:val="0"/>
        <w:widowControl w:val="0"/>
        <w:kinsoku/>
        <w:wordWrap/>
        <w:overflowPunct/>
        <w:autoSpaceDE/>
        <w:autoSpaceDN/>
        <w:bidi w:val="0"/>
        <w:snapToGrid/>
        <w:spacing w:line="500" w:lineRule="exact"/>
        <w:contextualSpacing/>
        <w:textAlignment w:val="auto"/>
        <w:rPr>
          <w:rFonts w:ascii="仿宋_GB2312" w:eastAsia="仿宋_GB2312" w:cs="仿宋_GB2312"/>
          <w:color w:val="000000"/>
          <w:sz w:val="32"/>
          <w:szCs w:val="32"/>
        </w:rPr>
      </w:pPr>
      <w:r>
        <w:rPr>
          <w:rFonts w:ascii="仿宋_GB2312" w:eastAsia="仿宋_GB2312" w:cs="仿宋_GB2312"/>
          <w:color w:val="000000"/>
          <w:sz w:val="32"/>
          <w:szCs w:val="32"/>
        </w:rPr>
        <w:t>经</w:t>
      </w:r>
      <w:r>
        <w:rPr>
          <w:rFonts w:hint="eastAsia" w:ascii="仿宋_GB2312" w:eastAsia="仿宋_GB2312" w:cs="仿宋_GB2312"/>
          <w:color w:val="000000"/>
          <w:sz w:val="32"/>
          <w:szCs w:val="32"/>
        </w:rPr>
        <w:t>甘肃省财政厅评定</w:t>
      </w:r>
      <w:r>
        <w:rPr>
          <w:rFonts w:ascii="仿宋_GB2312" w:eastAsia="仿宋_GB2312" w:cs="仿宋_GB2312"/>
          <w:color w:val="000000"/>
          <w:sz w:val="32"/>
          <w:szCs w:val="32"/>
        </w:rPr>
        <w:t>，</w:t>
      </w:r>
      <w:r>
        <w:rPr>
          <w:rFonts w:hint="eastAsia" w:ascii="仿宋_GB2312" w:eastAsia="仿宋_GB2312" w:cs="仿宋_GB2312"/>
          <w:color w:val="000000"/>
          <w:sz w:val="32"/>
          <w:szCs w:val="32"/>
        </w:rPr>
        <w:t>我县2020年政府全口径债务率为23.7%，风险等级为绿色，属政府债务风险正常地区。</w:t>
      </w:r>
    </w:p>
    <w:p w14:paraId="0874594A">
      <w:pPr>
        <w:keepNext w:val="0"/>
        <w:keepLines w:val="0"/>
        <w:pageBreakBefore w:val="0"/>
        <w:widowControl w:val="0"/>
        <w:kinsoku/>
        <w:wordWrap/>
        <w:overflowPunct/>
        <w:autoSpaceDE/>
        <w:autoSpaceDN/>
        <w:bidi w:val="0"/>
        <w:adjustRightInd w:val="0"/>
        <w:snapToGrid/>
        <w:spacing w:line="500" w:lineRule="exact"/>
        <w:ind w:firstLine="640" w:firstLineChars="200"/>
        <w:textAlignment w:val="auto"/>
        <w:rPr>
          <w:rFonts w:ascii="仿宋_GB2312" w:eastAsia="仿宋_GB2312"/>
          <w:color w:val="000000"/>
          <w:sz w:val="32"/>
          <w:szCs w:val="32"/>
        </w:rPr>
      </w:pPr>
      <w:r>
        <w:rPr>
          <w:rFonts w:hint="eastAsia" w:ascii="仿宋_GB2312" w:eastAsia="仿宋_GB2312"/>
          <w:color w:val="000000"/>
          <w:sz w:val="32"/>
          <w:szCs w:val="32"/>
        </w:rPr>
        <w:t>在</w:t>
      </w:r>
      <w:r>
        <w:rPr>
          <w:rFonts w:hint="eastAsia" w:ascii="仿宋_GB2312" w:eastAsia="仿宋_GB2312"/>
          <w:color w:val="000000"/>
          <w:sz w:val="32"/>
          <w:szCs w:val="32"/>
          <w:lang w:val="en-US" w:eastAsia="zh-CN"/>
        </w:rPr>
        <w:t>2022年</w:t>
      </w:r>
      <w:r>
        <w:rPr>
          <w:rFonts w:hint="eastAsia" w:ascii="仿宋_GB2312" w:eastAsia="仿宋_GB2312"/>
          <w:color w:val="000000"/>
          <w:sz w:val="32"/>
          <w:szCs w:val="32"/>
        </w:rPr>
        <w:t>县级预算中，安排</w:t>
      </w:r>
      <w:r>
        <w:rPr>
          <w:rFonts w:ascii="仿宋_GB2312" w:eastAsia="仿宋_GB2312"/>
          <w:color w:val="000000"/>
          <w:sz w:val="32"/>
          <w:szCs w:val="32"/>
        </w:rPr>
        <w:t>政府</w:t>
      </w:r>
      <w:r>
        <w:rPr>
          <w:rFonts w:hint="eastAsia" w:ascii="仿宋_GB2312" w:eastAsia="仿宋_GB2312"/>
          <w:color w:val="000000"/>
          <w:sz w:val="32"/>
          <w:szCs w:val="32"/>
          <w:lang w:eastAsia="zh-CN"/>
        </w:rPr>
        <w:t>债务</w:t>
      </w:r>
      <w:r>
        <w:rPr>
          <w:rFonts w:hint="eastAsia" w:ascii="仿宋_GB2312" w:eastAsia="仿宋_GB2312"/>
          <w:color w:val="000000"/>
          <w:sz w:val="32"/>
          <w:szCs w:val="32"/>
        </w:rPr>
        <w:t>还本付息支出</w:t>
      </w:r>
      <w:r>
        <w:rPr>
          <w:rFonts w:hint="eastAsia" w:ascii="仿宋_GB2312" w:eastAsia="仿宋_GB2312"/>
          <w:color w:val="000000"/>
          <w:sz w:val="32"/>
          <w:szCs w:val="32"/>
          <w:lang w:eastAsia="zh-CN"/>
        </w:rPr>
        <w:t>（含隐性债务还本付息）</w:t>
      </w:r>
      <w:r>
        <w:rPr>
          <w:rFonts w:ascii="仿宋_GB2312" w:eastAsia="仿宋_GB2312"/>
          <w:color w:val="000000"/>
          <w:sz w:val="32"/>
          <w:szCs w:val="32"/>
          <w:lang w:val="en-US" w:eastAsia="zh-CN"/>
        </w:rPr>
        <w:t>0.79亿元</w:t>
      </w:r>
      <w:r>
        <w:rPr>
          <w:rFonts w:hint="eastAsia" w:ascii="仿宋_GB2312" w:eastAsia="仿宋_GB2312"/>
          <w:color w:val="000000"/>
          <w:sz w:val="32"/>
          <w:szCs w:val="32"/>
          <w:lang w:val="en-US" w:eastAsia="zh-CN"/>
        </w:rPr>
        <w:t>,其中：</w:t>
      </w:r>
      <w:r>
        <w:rPr>
          <w:rFonts w:ascii="仿宋_GB2312" w:eastAsia="仿宋_GB2312"/>
          <w:color w:val="000000"/>
          <w:sz w:val="32"/>
          <w:szCs w:val="32"/>
          <w:lang w:val="en-US" w:eastAsia="zh-CN"/>
        </w:rPr>
        <w:t>财政部代理发行地方政府债券还本付息0.43亿元</w:t>
      </w:r>
      <w:r>
        <w:rPr>
          <w:rFonts w:hint="eastAsia" w:ascii="仿宋_GB2312" w:eastAsia="仿宋_GB2312"/>
          <w:color w:val="000000"/>
          <w:sz w:val="32"/>
          <w:szCs w:val="32"/>
          <w:lang w:val="en-US" w:eastAsia="zh-CN"/>
        </w:rPr>
        <w:t>（</w:t>
      </w:r>
      <w:r>
        <w:rPr>
          <w:rFonts w:ascii="仿宋_GB2312" w:eastAsia="仿宋_GB2312"/>
          <w:color w:val="000000"/>
          <w:sz w:val="32"/>
          <w:szCs w:val="32"/>
          <w:lang w:val="en-US" w:eastAsia="zh-CN"/>
        </w:rPr>
        <w:t>由于财力有限，计划向省财政厅申请</w:t>
      </w:r>
      <w:r>
        <w:rPr>
          <w:rFonts w:hint="eastAsia" w:ascii="仿宋_GB2312" w:eastAsia="仿宋_GB2312"/>
          <w:color w:val="000000"/>
          <w:sz w:val="32"/>
          <w:szCs w:val="32"/>
          <w:lang w:val="en-US" w:eastAsia="zh-CN"/>
        </w:rPr>
        <w:t>再融资债券</w:t>
      </w:r>
      <w:r>
        <w:rPr>
          <w:rFonts w:ascii="仿宋_GB2312" w:eastAsia="仿宋_GB2312"/>
          <w:color w:val="000000"/>
          <w:sz w:val="32"/>
          <w:szCs w:val="32"/>
          <w:lang w:val="en-US" w:eastAsia="zh-CN"/>
        </w:rPr>
        <w:t>0.6亿元</w:t>
      </w:r>
      <w:r>
        <w:rPr>
          <w:rFonts w:hint="eastAsia" w:ascii="仿宋_GB2312" w:eastAsia="仿宋_GB2312"/>
          <w:color w:val="000000"/>
          <w:sz w:val="32"/>
          <w:szCs w:val="32"/>
          <w:lang w:val="en-US" w:eastAsia="zh-CN"/>
        </w:rPr>
        <w:t>）。</w:t>
      </w:r>
    </w:p>
    <w:p w14:paraId="55D9C520">
      <w:pPr>
        <w:keepNext w:val="0"/>
        <w:keepLines w:val="0"/>
        <w:pageBreakBefore w:val="0"/>
        <w:widowControl/>
        <w:kinsoku/>
        <w:wordWrap/>
        <w:overflowPunct/>
        <w:autoSpaceDE/>
        <w:autoSpaceDN/>
        <w:bidi w:val="0"/>
        <w:snapToGrid/>
        <w:spacing w:line="500" w:lineRule="exact"/>
        <w:ind w:firstLine="640" w:firstLineChars="200"/>
        <w:textAlignment w:val="auto"/>
        <w:rPr>
          <w:rFonts w:ascii="黑体" w:eastAsia="黑体" w:cs="Times New Roman"/>
          <w:color w:val="000000"/>
          <w:sz w:val="32"/>
          <w:szCs w:val="32"/>
        </w:rPr>
      </w:pPr>
      <w:r>
        <w:rPr>
          <w:rFonts w:hint="eastAsia" w:ascii="黑体" w:eastAsia="黑体" w:cs="黑体"/>
          <w:color w:val="000000"/>
          <w:sz w:val="32"/>
          <w:szCs w:val="32"/>
        </w:rPr>
        <w:t>三、完成全年财政预算任务的主要措施</w:t>
      </w:r>
    </w:p>
    <w:p w14:paraId="0A2FD88C">
      <w:pPr>
        <w:keepNext w:val="0"/>
        <w:keepLines w:val="0"/>
        <w:pageBreakBefore w:val="0"/>
        <w:widowControl w:val="0"/>
        <w:kinsoku/>
        <w:wordWrap/>
        <w:overflowPunct/>
        <w:autoSpaceDE/>
        <w:autoSpaceDN/>
        <w:bidi w:val="0"/>
        <w:snapToGrid/>
        <w:spacing w:line="500" w:lineRule="exact"/>
        <w:ind w:firstLine="640" w:firstLineChars="200"/>
        <w:textAlignment w:val="auto"/>
        <w:rPr>
          <w:rFonts w:ascii="仿宋_GB2312" w:eastAsia="仿宋_GB2312" w:cs="仿宋_GB2312"/>
          <w:color w:val="000000"/>
          <w:sz w:val="32"/>
          <w:szCs w:val="32"/>
        </w:rPr>
      </w:pPr>
      <w:r>
        <w:rPr>
          <w:rFonts w:hint="eastAsia" w:ascii="楷体" w:eastAsia="楷体" w:cs="楷体"/>
          <w:color w:val="000000"/>
          <w:sz w:val="32"/>
          <w:szCs w:val="32"/>
        </w:rPr>
        <w:t>一是立足强化收支精细管理，提升财政保障能力。</w:t>
      </w:r>
      <w:r>
        <w:rPr>
          <w:rFonts w:hint="eastAsia" w:ascii="仿宋_GB2312" w:eastAsia="仿宋_GB2312" w:cs="仿宋_GB2312"/>
          <w:color w:val="000000"/>
          <w:sz w:val="32"/>
          <w:szCs w:val="32"/>
        </w:rPr>
        <w:t>科学研判宏观经济形势，强化经济运行分析，依法依规加强收入征管，努力做到应收尽收；深化非税收入收缴改革，强化国有资源（资产）有偿使用、国有土地使用权出让等非税收入征缴力度，不断增加财政收入；落实落细各项减税降费政策，降低企业成本，激发市场活力，增强经济发展后劲；加大政策扶持和产业引导力度，加快推进招商引资项目落地，充分挖掘财源增收潜力，拓宽增量财源增长空间；加大政府债券申请力度，提升专项债券使用绩效，积极拉动有效投资；优化财政支出结构力度，积极争取上级资金，统筹盘活存量资金，确保财政运行平稳。</w:t>
      </w:r>
    </w:p>
    <w:p w14:paraId="12A7F0DC">
      <w:pPr>
        <w:keepNext w:val="0"/>
        <w:keepLines w:val="0"/>
        <w:pageBreakBefore w:val="0"/>
        <w:widowControl w:val="0"/>
        <w:kinsoku/>
        <w:wordWrap/>
        <w:overflowPunct/>
        <w:autoSpaceDE/>
        <w:autoSpaceDN/>
        <w:bidi w:val="0"/>
        <w:snapToGrid/>
        <w:spacing w:line="500" w:lineRule="exact"/>
        <w:ind w:firstLine="640" w:firstLineChars="200"/>
        <w:textAlignment w:val="auto"/>
        <w:rPr>
          <w:rFonts w:ascii="仿宋_GB2312" w:eastAsia="仿宋_GB2312" w:cs="仿宋_GB2312"/>
          <w:color w:val="000000"/>
          <w:sz w:val="32"/>
          <w:szCs w:val="32"/>
        </w:rPr>
      </w:pPr>
      <w:r>
        <w:rPr>
          <w:rFonts w:hint="eastAsia" w:ascii="楷体" w:eastAsia="楷体" w:cs="楷体"/>
          <w:color w:val="000000"/>
          <w:sz w:val="32"/>
          <w:szCs w:val="32"/>
        </w:rPr>
        <w:t>二是立足发挥财政职能作用，助推县域经济发展。</w:t>
      </w:r>
      <w:r>
        <w:rPr>
          <w:rFonts w:hint="eastAsia" w:ascii="仿宋_GB2312" w:eastAsia="仿宋_GB2312" w:cs="仿宋_GB2312"/>
          <w:color w:val="000000"/>
          <w:sz w:val="32"/>
          <w:szCs w:val="32"/>
        </w:rPr>
        <w:t>坚持有保有压、统筹兼顾，全面落实教育、养老等民生政策，聚焦县委、县政府重点工作部署，加大财政保障力度。综合运用产业奖补、政府性融资担保、金融服务、财政贴息等方式，加大投入力度，促进经济高质量发展。贯彻落实中央、省、市、县促进民营经济发展相关财政奖补政策，持续优化营商环境，支持实体经济和民营经济发展。把握市委、市政府支持肃南县建设各民族共同富裕示范区的政策机遇，全力争取各项财税金融支持要素落地，支持产业培育、基础设施建设、公共服务完善和城乡融合发展。</w:t>
      </w:r>
    </w:p>
    <w:p w14:paraId="0B7BC6D7">
      <w:pPr>
        <w:keepNext w:val="0"/>
        <w:keepLines w:val="0"/>
        <w:pageBreakBefore w:val="0"/>
        <w:widowControl w:val="0"/>
        <w:kinsoku/>
        <w:wordWrap/>
        <w:overflowPunct/>
        <w:autoSpaceDE/>
        <w:autoSpaceDN/>
        <w:bidi w:val="0"/>
        <w:snapToGrid/>
        <w:spacing w:line="500" w:lineRule="exact"/>
        <w:ind w:firstLine="640" w:firstLineChars="200"/>
        <w:textAlignment w:val="auto"/>
        <w:rPr>
          <w:rFonts w:ascii="仿宋_GB2312" w:eastAsia="仿宋_GB2312" w:cs="仿宋_GB2312"/>
          <w:color w:val="000000"/>
          <w:sz w:val="32"/>
          <w:szCs w:val="32"/>
        </w:rPr>
      </w:pPr>
      <w:r>
        <w:rPr>
          <w:rFonts w:hint="eastAsia" w:ascii="楷体" w:eastAsia="楷体" w:cs="楷体"/>
          <w:color w:val="000000"/>
          <w:sz w:val="32"/>
          <w:szCs w:val="32"/>
        </w:rPr>
        <w:t>三是立足深化预算制度改革，增强财政治理能力。</w:t>
      </w:r>
      <w:r>
        <w:rPr>
          <w:rFonts w:hint="eastAsia" w:ascii="仿宋_GB2312" w:eastAsia="仿宋_GB2312" w:cs="仿宋_GB2312"/>
          <w:color w:val="000000"/>
          <w:sz w:val="32"/>
          <w:szCs w:val="32"/>
        </w:rPr>
        <w:t>深化预算管理制度改革，加强财政承受能力评估，健全预算支出定额标准、资产配置标准、购买服务标准等标准体系，加强财政中期规划管理，实施权责发生制政府综合财务报告试点编制，全面反映政府整体财务状况。依法推进财政信息公开，强化预算编制、预算执行、预算调整刚性约束，不断完善标准科学、规范透明、约束有力的预算制度。全面实施预算绩效管理，加快建立全方位、全过程、全覆盖的预算绩效管理体系。健全以政府债券为主体的政府举债融资机制，准确把握政策导向，规范政府举债融资行为，坚决遏制债务增量，逐步化解隐性债务存量，牢牢守住不发生系统性风险的底线。</w:t>
      </w:r>
    </w:p>
    <w:p w14:paraId="14EA3071">
      <w:pPr>
        <w:pStyle w:val="5"/>
        <w:keepNext w:val="0"/>
        <w:keepLines w:val="0"/>
        <w:pageBreakBefore w:val="0"/>
        <w:widowControl w:val="0"/>
        <w:kinsoku/>
        <w:wordWrap/>
        <w:overflowPunct/>
        <w:topLinePunct/>
        <w:autoSpaceDE/>
        <w:autoSpaceDN/>
        <w:bidi w:val="0"/>
        <w:adjustRightInd/>
        <w:snapToGrid/>
        <w:spacing w:after="0" w:line="500" w:lineRule="exact"/>
        <w:ind w:firstLine="640" w:firstLineChars="200"/>
        <w:textAlignment w:val="auto"/>
        <w:rPr>
          <w:rFonts w:hint="eastAsia" w:ascii="仿宋_GB2312" w:eastAsia="仿宋_GB2312" w:cs="仿宋_GB2312"/>
          <w:color w:val="000000"/>
          <w:kern w:val="2"/>
          <w:szCs w:val="32"/>
        </w:rPr>
      </w:pPr>
      <w:r>
        <w:rPr>
          <w:rFonts w:hint="eastAsia" w:ascii="楷体" w:eastAsia="楷体" w:cs="楷体"/>
          <w:color w:val="000000"/>
          <w:szCs w:val="32"/>
        </w:rPr>
        <w:t>四是立足加强财经秩序监督，提升财政管理水平。</w:t>
      </w:r>
      <w:r>
        <w:rPr>
          <w:rFonts w:hint="eastAsia" w:ascii="仿宋_GB2312" w:eastAsia="仿宋_GB2312" w:cs="仿宋_GB2312"/>
          <w:color w:val="000000"/>
          <w:szCs w:val="32"/>
        </w:rPr>
        <w:t>严格按照人大批准的预算执行，切实硬化预算执行约束，严禁无预算超预算支出。</w:t>
      </w:r>
      <w:r>
        <w:rPr>
          <w:rFonts w:hint="eastAsia" w:ascii="仿宋_GB2312" w:eastAsia="仿宋_GB2312"/>
          <w:color w:val="000000"/>
          <w:szCs w:val="32"/>
        </w:rPr>
        <w:t>开展全县财经秩序专项整治行动，</w:t>
      </w:r>
      <w:r>
        <w:rPr>
          <w:rFonts w:ascii="仿宋_GB2312" w:eastAsia="仿宋_GB2312" w:cs="仿宋_GB2312"/>
          <w:color w:val="000000"/>
          <w:szCs w:val="32"/>
        </w:rPr>
        <w:t>严肃查处财经领域有令不行、有禁不止的违纪违规行为，强化财经纪律约束</w:t>
      </w:r>
      <w:r>
        <w:rPr>
          <w:rFonts w:hint="eastAsia" w:ascii="仿宋_GB2312" w:eastAsia="仿宋_GB2312" w:cs="仿宋_GB2312"/>
          <w:color w:val="000000"/>
          <w:szCs w:val="32"/>
        </w:rPr>
        <w:t>。严格执行国库集中支付制度，将所有资金全部纳入财政一体化平台统一管理、统一核算、统一支付，探索实施财政授权支付的动态监控。</w:t>
      </w:r>
      <w:r>
        <w:rPr>
          <w:rFonts w:hint="eastAsia" w:ascii="仿宋_GB2312" w:eastAsia="仿宋_GB2312" w:cs="仿宋_GB2312"/>
          <w:color w:val="000000"/>
          <w:kern w:val="2"/>
          <w:szCs w:val="32"/>
        </w:rPr>
        <w:t>进一步加强国有资产管理，落实政府向人大报告国有资产管理情况制度，推进国有资产管理公开透明。</w:t>
      </w:r>
    </w:p>
    <w:p w14:paraId="08680B8D">
      <w:pPr>
        <w:keepNext w:val="0"/>
        <w:keepLines w:val="0"/>
        <w:pageBreakBefore w:val="0"/>
        <w:widowControl w:val="0"/>
        <w:kinsoku/>
        <w:wordWrap/>
        <w:overflowPunct/>
        <w:autoSpaceDE/>
        <w:autoSpaceDN/>
        <w:bidi w:val="0"/>
        <w:snapToGrid/>
        <w:spacing w:line="500" w:lineRule="exact"/>
        <w:ind w:firstLine="640" w:firstLineChars="200"/>
        <w:textAlignment w:val="auto"/>
        <w:rPr>
          <w:rFonts w:ascii="仿宋_GB2312" w:eastAsia="仿宋_GB2312"/>
          <w:bCs/>
          <w:color w:val="000000"/>
          <w:sz w:val="32"/>
          <w:szCs w:val="32"/>
        </w:rPr>
      </w:pPr>
      <w:r>
        <w:rPr>
          <w:rFonts w:hint="eastAsia" w:ascii="仿宋_GB2312" w:eastAsia="仿宋_GB2312" w:cs="仿宋_GB2312"/>
          <w:color w:val="000000"/>
          <w:sz w:val="32"/>
          <w:szCs w:val="32"/>
        </w:rPr>
        <w:t>主任、各位副主任，各位委员，</w:t>
      </w:r>
      <w:r>
        <w:rPr>
          <w:rFonts w:hint="eastAsia" w:ascii="仿宋_GB2312" w:eastAsia="仿宋_GB2312"/>
          <w:bCs/>
          <w:color w:val="000000"/>
          <w:sz w:val="32"/>
          <w:szCs w:val="32"/>
        </w:rPr>
        <w:t>做好 2022 年全县财政经济工作任务繁重而艰巨。我们将在县委的坚强领导下，坚持以习近平新时代中国特色社会主义思想为指导，认真落实本次会议决议，自觉接受人大监督，虚心听取政协意见建议，攻坚克难、</w:t>
      </w:r>
      <w:r>
        <w:rPr>
          <w:rFonts w:hint="eastAsia" w:ascii="仿宋_GB2312" w:eastAsia="仿宋_GB2312" w:cs="仿宋_GB2312"/>
          <w:bCs/>
          <w:color w:val="000000"/>
          <w:sz w:val="32"/>
          <w:szCs w:val="32"/>
        </w:rPr>
        <w:t>苦干实干，</w:t>
      </w:r>
      <w:r>
        <w:rPr>
          <w:rFonts w:hint="eastAsia" w:ascii="仿宋_GB2312" w:eastAsia="仿宋_GB2312"/>
          <w:bCs/>
          <w:color w:val="000000"/>
          <w:sz w:val="32"/>
          <w:szCs w:val="32"/>
        </w:rPr>
        <w:t>千方百计完成本次大会确定的目标任务，为全县经济社会高质量发展做出新的更大贡献。</w:t>
      </w:r>
    </w:p>
    <w:sectPr>
      <w:footerReference r:id="rId3" w:type="default"/>
      <w:footerReference r:id="rId4" w:type="even"/>
      <w:pgSz w:w="11907" w:h="16840" w:orient="landscape"/>
      <w:pgMar w:top="1361" w:right="1588" w:bottom="1361" w:left="1588" w:header="851" w:footer="992" w:gutter="0"/>
      <w:pgNumType w:fmt="numberInDash"/>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长城楷体">
    <w:altName w:val="黑体"/>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B574D6">
    <w:pPr>
      <w:pStyle w:val="6"/>
      <w:framePr w:wrap="around" w:vAnchor="text" w:hAnchor="margin" w:xAlign="outside" w:y="1"/>
      <w:rPr>
        <w:rStyle w:val="10"/>
        <w:sz w:val="28"/>
        <w:szCs w:val="28"/>
      </w:rPr>
    </w:pPr>
    <w:r>
      <w:rPr>
        <w:rStyle w:val="10"/>
        <w:sz w:val="28"/>
        <w:szCs w:val="28"/>
      </w:rPr>
      <w:fldChar w:fldCharType="begin"/>
    </w:r>
    <w:r>
      <w:rPr>
        <w:rStyle w:val="10"/>
        <w:sz w:val="28"/>
        <w:szCs w:val="28"/>
      </w:rPr>
      <w:instrText xml:space="preserve">PAGE  </w:instrText>
    </w:r>
    <w:r>
      <w:rPr>
        <w:sz w:val="28"/>
        <w:szCs w:val="28"/>
      </w:rPr>
      <w:fldChar w:fldCharType="separate"/>
    </w:r>
    <w:r>
      <w:rPr>
        <w:rStyle w:val="10"/>
        <w:sz w:val="28"/>
        <w:szCs w:val="28"/>
      </w:rPr>
      <w:t>- 3 -</w:t>
    </w:r>
    <w:r>
      <w:rPr>
        <w:sz w:val="28"/>
        <w:szCs w:val="28"/>
      </w:rPr>
      <w:fldChar w:fldCharType="end"/>
    </w:r>
  </w:p>
  <w:p w14:paraId="1CC25D6B">
    <w:pPr>
      <w:pStyle w:val="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75A8A3">
    <w:pPr>
      <w:pStyle w:val="6"/>
      <w:framePr w:wrap="around" w:vAnchor="text" w:hAnchor="margin" w:xAlign="outside" w:y="1"/>
      <w:rPr>
        <w:rStyle w:val="10"/>
      </w:rPr>
    </w:pPr>
    <w:r>
      <w:rPr>
        <w:rStyle w:val="10"/>
      </w:rPr>
      <w:fldChar w:fldCharType="begin"/>
    </w:r>
    <w:r>
      <w:rPr>
        <w:rStyle w:val="10"/>
      </w:rPr>
      <w:instrText xml:space="preserve">PAGE  </w:instrText>
    </w:r>
    <w:r>
      <w:fldChar w:fldCharType="separate"/>
    </w:r>
    <w:r>
      <w:t xml:space="preserve"> </w:t>
    </w:r>
    <w:r>
      <w:fldChar w:fldCharType="end"/>
    </w:r>
  </w:p>
  <w:p w14:paraId="5483BC88">
    <w:pPr>
      <w:pStyle w:val="6"/>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4EED3E"/>
    <w:multiLevelType w:val="singleLevel"/>
    <w:tmpl w:val="7C4EED3E"/>
    <w:lvl w:ilvl="0" w:tentative="0">
      <w:start w:val="3"/>
      <w:numFmt w:val="decimal"/>
      <w:suff w:val="nothing"/>
      <w:lvlText w:val="（%1）"/>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bookFoldPrinting w:val="1"/>
  <w:bookFoldPrintingSheets w:val="-4"/>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5"/>
  </w:compat>
  <w:docVars>
    <w:docVar w:name="commondata" w:val="eyJoZGlkIjoiZTgzOTgzMzcwOTg0ZWQxMTJmZTJmODI5YjM4N2E3YWEifQ=="/>
  </w:docVars>
  <w:rsids>
    <w:rsidRoot w:val="00000000"/>
    <w:rsid w:val="4C9C51DB"/>
    <w:rsid w:val="6B2F1B41"/>
    <w:rsid w:val="7EEE4E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unhideWhenUsed="0" w:uiPriority="4294967295" w:semiHidden="0" w:name="heading 4" w:locked="1"/>
    <w:lsdException w:unhideWhenUsed="0" w:uiPriority="4294967295" w:semiHidden="0" w:name="heading 5" w:locked="1"/>
    <w:lsdException w:unhideWhenUsed="0" w:uiPriority="4294967295" w:semiHidden="0" w:name="heading 6" w:locked="1"/>
    <w:lsdException w:unhideWhenUsed="0" w:uiPriority="4294967295" w:semiHidden="0" w:name="heading 7" w:locked="1"/>
    <w:lsdException w:unhideWhenUsed="0" w:uiPriority="4294967295" w:semiHidden="0" w:name="heading 8" w:locked="1"/>
    <w:lsdException w:unhideWhenUsed="0" w:uiPriority="4294967295" w:semiHidden="0" w:name="heading 9" w:locked="1"/>
    <w:lsdException w:unhideWhenUsed="0" w:uiPriority="4294967295" w:semiHidden="0" w:name="index 1"/>
    <w:lsdException w:unhideWhenUsed="0" w:uiPriority="4294967295" w:semiHidden="0" w:name="index 2"/>
    <w:lsdException w:unhideWhenUsed="0" w:uiPriority="4294967295" w:semiHidden="0" w:name="index 3"/>
    <w:lsdException w:unhideWhenUsed="0" w:uiPriority="4294967295" w:semiHidden="0" w:name="index 4"/>
    <w:lsdException w:unhideWhenUsed="0" w:uiPriority="4294967295" w:semiHidden="0" w:name="index 5"/>
    <w:lsdException w:unhideWhenUsed="0" w:uiPriority="4294967295" w:semiHidden="0" w:name="index 6"/>
    <w:lsdException w:unhideWhenUsed="0" w:uiPriority="4294967295" w:semiHidden="0" w:name="index 7"/>
    <w:lsdException w:unhideWhenUsed="0" w:uiPriority="4294967295" w:semiHidden="0" w:name="index 8"/>
    <w:lsdException w:unhideWhenUsed="0" w:uiPriority="4294967295" w:semiHidden="0" w:name="index 9"/>
    <w:lsdException w:unhideWhenUsed="0" w:uiPriority="4294967295" w:semiHidden="0" w:name="toc 1" w:locked="1"/>
    <w:lsdException w:unhideWhenUsed="0" w:uiPriority="4294967295" w:semiHidden="0" w:name="toc 2" w:locked="1"/>
    <w:lsdException w:unhideWhenUsed="0" w:uiPriority="4294967295" w:semiHidden="0" w:name="toc 3" w:locked="1"/>
    <w:lsdException w:unhideWhenUsed="0" w:uiPriority="4294967295" w:semiHidden="0" w:name="toc 4" w:locked="1"/>
    <w:lsdException w:unhideWhenUsed="0" w:uiPriority="4294967295" w:semiHidden="0" w:name="toc 5" w:locked="1"/>
    <w:lsdException w:unhideWhenUsed="0" w:uiPriority="4294967295" w:semiHidden="0" w:name="toc 6" w:locked="1"/>
    <w:lsdException w:unhideWhenUsed="0" w:uiPriority="4294967295" w:semiHidden="0" w:name="toc 7" w:locked="1"/>
    <w:lsdException w:unhideWhenUsed="0" w:uiPriority="4294967295" w:semiHidden="0" w:name="toc 8" w:locked="1"/>
    <w:lsdException w:unhideWhenUsed="0" w:uiPriority="4294967295" w:semiHidden="0" w:name="toc 9" w:locked="1"/>
    <w:lsdException w:unhideWhenUsed="0" w:uiPriority="4294967295" w:semiHidden="0" w:name="Normal Indent"/>
    <w:lsdException w:unhideWhenUsed="0" w:uiPriority="4294967295" w:semiHidden="0" w:name="footnote text"/>
    <w:lsdException w:unhideWhenUsed="0" w:uiPriority="4294967295" w:semiHidden="0" w:name="annotation text"/>
    <w:lsdException w:qFormat="1" w:unhideWhenUsed="0" w:uiPriority="0" w:semiHidden="0" w:name="header"/>
    <w:lsdException w:qFormat="1" w:unhideWhenUsed="0" w:uiPriority="0" w:semiHidden="0" w:name="footer"/>
    <w:lsdException w:unhideWhenUsed="0" w:uiPriority="4294967295" w:semiHidden="0" w:name="index heading"/>
    <w:lsdException w:unhideWhenUsed="0" w:uiPriority="4294967295" w:semiHidden="0" w:name="caption" w:locked="1"/>
    <w:lsdException w:unhideWhenUsed="0" w:uiPriority="4294967295" w:semiHidden="0" w:name="table of figures"/>
    <w:lsdException w:unhideWhenUsed="0" w:uiPriority="4294967295" w:semiHidden="0" w:name="envelope address"/>
    <w:lsdException w:unhideWhenUsed="0" w:uiPriority="4294967295" w:semiHidden="0" w:name="envelope return"/>
    <w:lsdException w:unhideWhenUsed="0" w:uiPriority="4294967295" w:semiHidden="0" w:name="footnote reference"/>
    <w:lsdException w:unhideWhenUsed="0" w:uiPriority="4294967295" w:semiHidden="0" w:name="annotation reference"/>
    <w:lsdException w:unhideWhenUsed="0" w:uiPriority="4294967295" w:semiHidden="0" w:name="line number"/>
    <w:lsdException w:qFormat="1" w:unhideWhenUsed="0" w:uiPriority="0" w:semiHidden="0" w:name="page number"/>
    <w:lsdException w:unhideWhenUsed="0" w:uiPriority="4294967295" w:semiHidden="0" w:name="endnote reference"/>
    <w:lsdException w:unhideWhenUsed="0" w:uiPriority="4294967295" w:semiHidden="0" w:name="endnote text"/>
    <w:lsdException w:unhideWhenUsed="0" w:uiPriority="4294967295" w:semiHidden="0" w:name="table of authorities"/>
    <w:lsdException w:unhideWhenUsed="0" w:uiPriority="4294967295" w:semiHidden="0" w:name="macro"/>
    <w:lsdException w:unhideWhenUsed="0" w:uiPriority="4294967295" w:semiHidden="0" w:name="toa heading"/>
    <w:lsdException w:unhideWhenUsed="0" w:uiPriority="4294967295" w:semiHidden="0" w:name="List"/>
    <w:lsdException w:unhideWhenUsed="0" w:uiPriority="4294967295" w:semiHidden="0" w:name="List Bullet"/>
    <w:lsdException w:unhideWhenUsed="0" w:uiPriority="4294967295" w:semiHidden="0" w:name="List Number"/>
    <w:lsdException w:unhideWhenUsed="0" w:uiPriority="4294967295" w:semiHidden="0" w:name="List 2"/>
    <w:lsdException w:unhideWhenUsed="0" w:uiPriority="4294967295" w:semiHidden="0" w:name="List 3"/>
    <w:lsdException w:unhideWhenUsed="0" w:uiPriority="4294967295" w:semiHidden="0" w:name="List 4"/>
    <w:lsdException w:unhideWhenUsed="0" w:uiPriority="4294967295" w:semiHidden="0" w:name="List 5"/>
    <w:lsdException w:unhideWhenUsed="0" w:uiPriority="4294967295" w:semiHidden="0" w:name="List Bullet 2"/>
    <w:lsdException w:unhideWhenUsed="0" w:uiPriority="4294967295" w:semiHidden="0" w:name="List Bullet 3"/>
    <w:lsdException w:unhideWhenUsed="0" w:uiPriority="4294967295" w:semiHidden="0" w:name="List Bullet 4"/>
    <w:lsdException w:unhideWhenUsed="0" w:uiPriority="4294967295" w:semiHidden="0" w:name="List Bullet 5"/>
    <w:lsdException w:unhideWhenUsed="0" w:uiPriority="4294967295" w:semiHidden="0" w:name="List Number 2"/>
    <w:lsdException w:unhideWhenUsed="0" w:uiPriority="4294967295" w:semiHidden="0" w:name="List Number 3"/>
    <w:lsdException w:unhideWhenUsed="0" w:uiPriority="4294967295" w:semiHidden="0" w:name="List Number 4"/>
    <w:lsdException w:unhideWhenUsed="0" w:uiPriority="4294967295" w:semiHidden="0" w:name="List Number 5"/>
    <w:lsdException w:unhideWhenUsed="0" w:uiPriority="4294967295" w:semiHidden="0" w:name="Title" w:locked="1"/>
    <w:lsdException w:unhideWhenUsed="0" w:uiPriority="4294967295" w:semiHidden="0" w:name="Closing"/>
    <w:lsdException w:unhideWhenUsed="0" w:uiPriority="4294967295" w:semiHidden="0" w:name="Signature"/>
    <w:lsdException w:qFormat="1" w:unhideWhenUsed="0" w:uiPriority="0" w:semiHidden="0" w:name="Default Paragraph Font"/>
    <w:lsdException w:qFormat="1" w:unhideWhenUsed="0" w:uiPriority="0" w:semiHidden="0" w:name="Body Text"/>
    <w:lsdException w:unhideWhenUsed="0" w:uiPriority="4294967295" w:semiHidden="0" w:name="Body Text Indent"/>
    <w:lsdException w:unhideWhenUsed="0" w:uiPriority="4294967295" w:semiHidden="0" w:name="List Continue"/>
    <w:lsdException w:unhideWhenUsed="0" w:uiPriority="4294967295" w:semiHidden="0" w:name="List Continue 2"/>
    <w:lsdException w:unhideWhenUsed="0" w:uiPriority="4294967295" w:semiHidden="0" w:name="List Continue 3"/>
    <w:lsdException w:unhideWhenUsed="0" w:uiPriority="4294967295" w:semiHidden="0" w:name="List Continue 4"/>
    <w:lsdException w:unhideWhenUsed="0" w:uiPriority="4294967295" w:semiHidden="0" w:name="List Continue 5"/>
    <w:lsdException w:unhideWhenUsed="0" w:uiPriority="4294967295" w:semiHidden="0" w:name="Message Header"/>
    <w:lsdException w:unhideWhenUsed="0" w:uiPriority="4294967295" w:semiHidden="0" w:name="Subtitle" w:locked="1"/>
    <w:lsdException w:unhideWhenUsed="0" w:uiPriority="4294967295" w:semiHidden="0" w:name="Salutation"/>
    <w:lsdException w:unhideWhenUsed="0" w:uiPriority="4294967295" w:semiHidden="0" w:name="Date"/>
    <w:lsdException w:unhideWhenUsed="0" w:uiPriority="4294967295" w:semiHidden="0" w:name="Body Text First Indent"/>
    <w:lsdException w:unhideWhenUsed="0" w:uiPriority="4294967295" w:semiHidden="0" w:name="Body Text First Indent 2"/>
    <w:lsdException w:unhideWhenUsed="0" w:uiPriority="4294967295" w:semiHidden="0" w:name="Note Heading"/>
    <w:lsdException w:unhideWhenUsed="0" w:uiPriority="4294967295" w:semiHidden="0" w:name="Body Text 2"/>
    <w:lsdException w:unhideWhenUsed="0" w:uiPriority="4294967295" w:semiHidden="0" w:name="Body Text 3"/>
    <w:lsdException w:unhideWhenUsed="0" w:uiPriority="4294967295" w:semiHidden="0" w:name="Body Text Indent 2"/>
    <w:lsdException w:unhideWhenUsed="0" w:uiPriority="4294967295" w:semiHidden="0" w:name="Body Text Indent 3"/>
    <w:lsdException w:unhideWhenUsed="0" w:uiPriority="4294967295" w:semiHidden="0" w:name="Block Text"/>
    <w:lsdException w:qFormat="1" w:unhideWhenUsed="0" w:uiPriority="0" w:semiHidden="0" w:name="Hyperlink"/>
    <w:lsdException w:unhideWhenUsed="0" w:uiPriority="4294967295" w:semiHidden="0" w:name="FollowedHyperlink"/>
    <w:lsdException w:unhideWhenUsed="0" w:uiPriority="4294967295" w:semiHidden="0" w:name="Strong" w:locked="1"/>
    <w:lsdException w:unhideWhenUsed="0" w:uiPriority="4294967295" w:semiHidden="0" w:name="Emphasis" w:locked="1"/>
    <w:lsdException w:unhideWhenUsed="0" w:uiPriority="4294967295" w:semiHidden="0" w:name="Document Map"/>
    <w:lsdException w:unhideWhenUsed="0" w:uiPriority="4294967295" w:semiHidden="0" w:name="Plain Text"/>
    <w:lsdException w:unhideWhenUsed="0" w:uiPriority="4294967295" w:semiHidden="0" w:name="E-mail Signature"/>
    <w:lsdException w:unhideWhenUsed="0" w:uiPriority="4294967295" w:semiHidden="0" w:name="Normal (Web)"/>
    <w:lsdException w:unhideWhenUsed="0" w:uiPriority="4294967295" w:semiHidden="0" w:name="HTML Acronym"/>
    <w:lsdException w:unhideWhenUsed="0" w:uiPriority="4294967295" w:semiHidden="0" w:name="HTML Address"/>
    <w:lsdException w:unhideWhenUsed="0" w:uiPriority="4294967295" w:semiHidden="0" w:name="HTML Cite"/>
    <w:lsdException w:unhideWhenUsed="0" w:uiPriority="4294967295" w:semiHidden="0" w:name="HTML Code"/>
    <w:lsdException w:unhideWhenUsed="0" w:uiPriority="4294967295" w:semiHidden="0" w:name="HTML Definition"/>
    <w:lsdException w:unhideWhenUsed="0" w:uiPriority="4294967295" w:semiHidden="0" w:name="HTML Keyboard"/>
    <w:lsdException w:unhideWhenUsed="0" w:uiPriority="4294967295" w:semiHidden="0" w:name="HTML Preformatted"/>
    <w:lsdException w:unhideWhenUsed="0" w:uiPriority="4294967295" w:semiHidden="0" w:name="HTML Sample"/>
    <w:lsdException w:unhideWhenUsed="0" w:uiPriority="4294967295" w:semiHidden="0" w:name="HTML Typewriter"/>
    <w:lsdException w:unhideWhenUsed="0" w:uiPriority="4294967295" w:semiHidden="0" w:name="HTML Variable"/>
    <w:lsdException w:unhideWhenUsed="0" w:uiPriority="4294967295" w:semiHidden="0" w:name="Normal Table"/>
    <w:lsdException w:unhideWhenUsed="0" w:uiPriority="4294967295" w:semiHidden="0" w:name="annotation subject"/>
    <w:lsdException w:unhideWhenUsed="0" w:uiPriority="4294967295" w:semiHidden="0" w:name="Table Simple 1"/>
    <w:lsdException w:unhideWhenUsed="0" w:uiPriority="4294967295" w:semiHidden="0" w:name="Table Simple 2"/>
    <w:lsdException w:unhideWhenUsed="0" w:uiPriority="4294967295" w:semiHidden="0" w:name="Table Simple 3"/>
    <w:lsdException w:unhideWhenUsed="0" w:uiPriority="4294967295" w:semiHidden="0" w:name="Table Classic 1"/>
    <w:lsdException w:unhideWhenUsed="0" w:uiPriority="4294967295" w:semiHidden="0" w:name="Table Classic 2"/>
    <w:lsdException w:unhideWhenUsed="0" w:uiPriority="4294967295" w:semiHidden="0" w:name="Table Classic 3"/>
    <w:lsdException w:unhideWhenUsed="0" w:uiPriority="4294967295" w:semiHidden="0" w:name="Table Classic 4"/>
    <w:lsdException w:unhideWhenUsed="0" w:uiPriority="4294967295" w:semiHidden="0" w:name="Table Colorful 1"/>
    <w:lsdException w:unhideWhenUsed="0" w:uiPriority="4294967295" w:semiHidden="0" w:name="Table Colorful 2"/>
    <w:lsdException w:unhideWhenUsed="0" w:uiPriority="4294967295" w:semiHidden="0" w:name="Table Colorful 3"/>
    <w:lsdException w:unhideWhenUsed="0" w:uiPriority="4294967295" w:semiHidden="0" w:name="Table Columns 1"/>
    <w:lsdException w:unhideWhenUsed="0" w:uiPriority="4294967295" w:semiHidden="0" w:name="Table Columns 2"/>
    <w:lsdException w:unhideWhenUsed="0" w:uiPriority="4294967295" w:semiHidden="0" w:name="Table Columns 3"/>
    <w:lsdException w:unhideWhenUsed="0" w:uiPriority="4294967295" w:semiHidden="0" w:name="Table Columns 4"/>
    <w:lsdException w:unhideWhenUsed="0" w:uiPriority="4294967295" w:semiHidden="0" w:name="Table Columns 5"/>
    <w:lsdException w:unhideWhenUsed="0" w:uiPriority="4294967295" w:semiHidden="0" w:name="Table Grid 1"/>
    <w:lsdException w:unhideWhenUsed="0" w:uiPriority="4294967295" w:semiHidden="0" w:name="Table Grid 2"/>
    <w:lsdException w:unhideWhenUsed="0" w:uiPriority="4294967295" w:semiHidden="0" w:name="Table Grid 3"/>
    <w:lsdException w:unhideWhenUsed="0" w:uiPriority="4294967295" w:semiHidden="0" w:name="Table Grid 4"/>
    <w:lsdException w:unhideWhenUsed="0" w:uiPriority="4294967295" w:semiHidden="0" w:name="Table Grid 5"/>
    <w:lsdException w:unhideWhenUsed="0" w:uiPriority="4294967295" w:semiHidden="0" w:name="Table Grid 6"/>
    <w:lsdException w:unhideWhenUsed="0" w:uiPriority="4294967295" w:semiHidden="0" w:name="Table Grid 7"/>
    <w:lsdException w:unhideWhenUsed="0" w:uiPriority="4294967295" w:semiHidden="0" w:name="Table Grid 8"/>
    <w:lsdException w:unhideWhenUsed="0" w:uiPriority="4294967295" w:semiHidden="0" w:name="Table List 1"/>
    <w:lsdException w:unhideWhenUsed="0" w:uiPriority="4294967295" w:semiHidden="0" w:name="Table List 2"/>
    <w:lsdException w:unhideWhenUsed="0" w:uiPriority="4294967295" w:semiHidden="0" w:name="Table List 3"/>
    <w:lsdException w:unhideWhenUsed="0" w:uiPriority="4294967295" w:semiHidden="0" w:name="Table List 4"/>
    <w:lsdException w:unhideWhenUsed="0" w:uiPriority="4294967295" w:semiHidden="0" w:name="Table List 5"/>
    <w:lsdException w:unhideWhenUsed="0" w:uiPriority="4294967295" w:semiHidden="0" w:name="Table List 6"/>
    <w:lsdException w:unhideWhenUsed="0" w:uiPriority="4294967295" w:semiHidden="0" w:name="Table List 7"/>
    <w:lsdException w:unhideWhenUsed="0" w:uiPriority="4294967295" w:semiHidden="0" w:name="Table List 8"/>
    <w:lsdException w:unhideWhenUsed="0" w:uiPriority="4294967295" w:semiHidden="0" w:name="Table 3D effects 1"/>
    <w:lsdException w:unhideWhenUsed="0" w:uiPriority="4294967295" w:semiHidden="0" w:name="Table 3D effects 2"/>
    <w:lsdException w:unhideWhenUsed="0" w:uiPriority="4294967295" w:semiHidden="0" w:name="Table 3D effects 3"/>
    <w:lsdException w:unhideWhenUsed="0" w:uiPriority="4294967295" w:semiHidden="0" w:name="Table Contemporary"/>
    <w:lsdException w:unhideWhenUsed="0" w:uiPriority="4294967295" w:semiHidden="0" w:name="Table Elegant"/>
    <w:lsdException w:unhideWhenUsed="0" w:uiPriority="4294967295" w:semiHidden="0" w:name="Table Professional"/>
    <w:lsdException w:unhideWhenUsed="0" w:uiPriority="4294967295" w:semiHidden="0" w:name="Table Subtle 1"/>
    <w:lsdException w:unhideWhenUsed="0" w:uiPriority="4294967295" w:semiHidden="0" w:name="Table Subtle 2"/>
    <w:lsdException w:unhideWhenUsed="0" w:uiPriority="4294967295" w:semiHidden="0" w:name="Table Web 1"/>
    <w:lsdException w:unhideWhenUsed="0" w:uiPriority="4294967295" w:semiHidden="0" w:name="Table Web 2"/>
    <w:lsdException w:unhideWhenUsed="0" w:uiPriority="4294967295" w:semiHidden="0" w:name="Table Web 3"/>
    <w:lsdException w:unhideWhenUsed="0" w:uiPriority="4294967295" w:semiHidden="0" w:name="Balloon Text"/>
    <w:lsdException w:unhideWhenUsed="0" w:uiPriority="4294967295" w:semiHidden="0" w:name="Table Grid"/>
    <w:lsdException w:unhideWhenUsed="0" w:uiPriority="4294967295"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Calibri"/>
      <w:kern w:val="2"/>
      <w:sz w:val="21"/>
      <w:szCs w:val="21"/>
      <w:lang w:val="en-US" w:eastAsia="zh-CN" w:bidi="ar-SA"/>
    </w:rPr>
  </w:style>
  <w:style w:type="paragraph" w:styleId="2">
    <w:name w:val="heading 1"/>
    <w:basedOn w:val="1"/>
    <w:next w:val="1"/>
    <w:qFormat/>
    <w:locked/>
    <w:uiPriority w:val="0"/>
    <w:pPr>
      <w:outlineLvl w:val="0"/>
    </w:pPr>
    <w:rPr>
      <w:sz w:val="28"/>
      <w:szCs w:val="28"/>
    </w:rPr>
  </w:style>
  <w:style w:type="paragraph" w:styleId="3">
    <w:name w:val="heading 2"/>
    <w:basedOn w:val="1"/>
    <w:next w:val="1"/>
    <w:qFormat/>
    <w:locked/>
    <w:uiPriority w:val="0"/>
    <w:pPr>
      <w:keepNext/>
      <w:keepLines/>
      <w:widowControl w:val="0"/>
      <w:spacing w:before="260" w:after="260" w:line="415" w:lineRule="auto"/>
      <w:outlineLvl w:val="1"/>
    </w:pPr>
    <w:rPr>
      <w:rFonts w:ascii="Times New Roman" w:hAnsi="Times New Roman" w:eastAsia="黑体"/>
      <w:b/>
      <w:sz w:val="32"/>
    </w:rPr>
  </w:style>
  <w:style w:type="paragraph" w:styleId="4">
    <w:name w:val="heading 3"/>
    <w:basedOn w:val="1"/>
    <w:next w:val="1"/>
    <w:qFormat/>
    <w:locked/>
    <w:uiPriority w:val="0"/>
    <w:pPr>
      <w:keepNext/>
      <w:keepLines/>
      <w:widowControl w:val="0"/>
      <w:spacing w:before="260" w:after="260" w:line="415" w:lineRule="auto"/>
      <w:outlineLvl w:val="2"/>
    </w:pPr>
    <w:rPr>
      <w:b/>
      <w:sz w:val="32"/>
    </w:rPr>
  </w:style>
  <w:style w:type="character" w:default="1" w:styleId="9">
    <w:name w:val="Default Paragraph Font"/>
    <w:qFormat/>
    <w:uiPriority w:val="0"/>
  </w:style>
  <w:style w:type="table" w:default="1" w:styleId="8">
    <w:name w:val="Normal Table"/>
    <w:uiPriority w:val="4294967295"/>
    <w:tblPr>
      <w:tblCellMar>
        <w:top w:w="0" w:type="dxa"/>
        <w:left w:w="108" w:type="dxa"/>
        <w:bottom w:w="0" w:type="dxa"/>
        <w:right w:w="108" w:type="dxa"/>
      </w:tblCellMar>
    </w:tblPr>
  </w:style>
  <w:style w:type="paragraph" w:styleId="5">
    <w:name w:val="Body Text"/>
    <w:basedOn w:val="1"/>
    <w:qFormat/>
    <w:uiPriority w:val="0"/>
    <w:pPr>
      <w:adjustRightInd w:val="0"/>
      <w:spacing w:after="120" w:line="312" w:lineRule="auto"/>
      <w:textAlignment w:val="baseline"/>
    </w:pPr>
    <w:rPr>
      <w:rFonts w:ascii="长城楷体" w:eastAsia="长城楷体" w:cs="Times New Roman"/>
      <w:kern w:val="32"/>
      <w:sz w:val="32"/>
      <w:szCs w:val="20"/>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10">
    <w:name w:val="page number"/>
    <w:basedOn w:val="9"/>
    <w:qFormat/>
    <w:uiPriority w:val="0"/>
  </w:style>
  <w:style w:type="character" w:styleId="11">
    <w:name w:val="Hyperlink"/>
    <w:qFormat/>
    <w:uiPriority w:val="0"/>
    <w:rPr>
      <w:color w:val="0000FF"/>
      <w:u w:val="single"/>
    </w:rPr>
  </w:style>
  <w:style w:type="character" w:customStyle="1" w:styleId="12">
    <w:name w:val="正文文本 字符"/>
    <w:basedOn w:val="9"/>
    <w:qFormat/>
    <w:uiPriority w:val="0"/>
    <w:rPr>
      <w:rFonts w:ascii="Times New Roman" w:hAnsi="Times New Roman" w:cs="Calibri"/>
      <w:kern w:val="2"/>
      <w:sz w:val="21"/>
      <w:szCs w:val="21"/>
    </w:rPr>
  </w:style>
  <w:style w:type="paragraph" w:styleId="13">
    <w:name w:val="List Paragraph"/>
    <w:qFormat/>
    <w:uiPriority w:val="0"/>
    <w:pPr>
      <w:widowControl w:val="0"/>
      <w:ind w:firstLine="200" w:firstLineChars="200"/>
      <w:jc w:val="both"/>
    </w:pPr>
    <w:rPr>
      <w:rFonts w:ascii="等线" w:hAnsi="Times New Roman" w:eastAsia="等线" w:cs="Arial"/>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Pages>8</Pages>
  <Words>4761</Words>
  <Characters>5091</Characters>
  <Lines>0</Lines>
  <Paragraphs>60</Paragraphs>
  <TotalTime>32</TotalTime>
  <ScaleCrop>false</ScaleCrop>
  <LinksUpToDate>false</LinksUpToDate>
  <CharactersWithSpaces>5100</CharactersWithSpaces>
  <Application>WPS Office_12.1.0.18912_F1E327BC-269C-435d-A152-05C5408002CA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2022-03-10T10:06:00Z</dcterms:created>
  <dc:creator>杨鸿</dc:creator>
  <cp:lastModifiedBy>酱紫肘味雀食蟀</cp:lastModifiedBy>
  <cp:lastPrinted>2022-03-11T00:43:00Z</cp:lastPrinted>
  <dcterms:modified xsi:type="dcterms:W3CDTF">2025-03-04T08:34:49Z</dcterms:modified>
  <dc:title>关于自治县2016年财政预算(草案)的报告</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6A3554FC441B44EC9F1F0F4D62ED9D54_13</vt:lpwstr>
  </property>
</Properties>
</file>