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833A06">
      <w:pPr>
        <w:keepNext w:val="0"/>
        <w:keepLines w:val="0"/>
        <w:pageBreakBefore w:val="0"/>
        <w:kinsoku/>
        <w:topLinePunct w:val="0"/>
        <w:autoSpaceDE/>
        <w:autoSpaceDN/>
        <w:bidi w:val="0"/>
        <w:snapToGrid w:val="0"/>
        <w:spacing w:line="560" w:lineRule="exact"/>
        <w:textAlignment w:val="baseline"/>
        <w:rPr>
          <w:rFonts w:ascii="华文中宋" w:hAnsi="华文中宋" w:eastAsia="华文中宋"/>
          <w:b/>
          <w:kern w:val="0"/>
          <w:sz w:val="44"/>
          <w:szCs w:val="44"/>
          <w:highlight w:val="none"/>
          <w:u w:color="000000"/>
        </w:rPr>
      </w:pPr>
      <w:r>
        <w:rPr>
          <w:rFonts w:eastAsia="方正小标宋简体" w:cs="方正小标宋简体"/>
          <w:sz w:val="44"/>
          <w:szCs w:val="4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89535</wp:posOffset>
                </wp:positionV>
                <wp:extent cx="2956560" cy="587375"/>
                <wp:effectExtent l="5080" t="4445" r="10160" b="17780"/>
                <wp:wrapNone/>
                <wp:docPr id="1" name="文本框 1"/>
                <wp:cNvGraphicFramePr/>
                <a:graphic xmlns:a="http://schemas.openxmlformats.org/drawingml/2006/main">
                  <a:graphicData uri="http://schemas.microsoft.com/office/word/2010/wordprocessingShape">
                    <wps:wsp>
                      <wps:cNvSpPr txBox="1"/>
                      <wps:spPr>
                        <a:xfrm>
                          <a:off x="0" y="0"/>
                          <a:ext cx="2956560"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26CFA0">
                            <w:pPr>
                              <w:spacing w:line="400" w:lineRule="exact"/>
                              <w:jc w:val="distribute"/>
                              <w:rPr>
                                <w:rFonts w:hint="eastAsia" w:ascii="宋体" w:hAnsi="宋体"/>
                                <w:sz w:val="24"/>
                              </w:rPr>
                            </w:pPr>
                            <w:r>
                              <w:rPr>
                                <w:rFonts w:hint="eastAsia" w:ascii="宋体" w:hAnsi="宋体"/>
                                <w:sz w:val="24"/>
                              </w:rPr>
                              <w:t>肃南裕固族自治县第</w:t>
                            </w:r>
                            <w:r>
                              <w:rPr>
                                <w:rFonts w:hint="eastAsia" w:ascii="宋体" w:hAnsi="宋体"/>
                                <w:sz w:val="24"/>
                                <w:lang w:val="en-US" w:eastAsia="zh-CN"/>
                              </w:rPr>
                              <w:t>十九</w:t>
                            </w:r>
                            <w:r>
                              <w:rPr>
                                <w:rFonts w:hint="eastAsia" w:ascii="宋体" w:hAnsi="宋体"/>
                                <w:sz w:val="24"/>
                              </w:rPr>
                              <w:t>届人民代表大会</w:t>
                            </w:r>
                          </w:p>
                          <w:p w14:paraId="0B3B8EDF">
                            <w:pPr>
                              <w:spacing w:line="400" w:lineRule="exact"/>
                              <w:jc w:val="distribute"/>
                              <w:rPr>
                                <w:rFonts w:hint="eastAsia" w:ascii="宋体" w:hAnsi="宋体" w:eastAsia="宋体"/>
                                <w:spacing w:val="38"/>
                                <w:sz w:val="24"/>
                                <w:lang w:val="en-US" w:eastAsia="zh-CN"/>
                              </w:rPr>
                            </w:pPr>
                            <w:r>
                              <w:rPr>
                                <w:rFonts w:hint="eastAsia" w:ascii="宋体" w:hAnsi="宋体"/>
                                <w:spacing w:val="38"/>
                                <w:sz w:val="24"/>
                              </w:rPr>
                              <w:t>第</w:t>
                            </w:r>
                            <w:r>
                              <w:rPr>
                                <w:rFonts w:hint="eastAsia" w:ascii="宋体" w:hAnsi="宋体"/>
                                <w:spacing w:val="38"/>
                                <w:sz w:val="24"/>
                                <w:lang w:eastAsia="zh-CN"/>
                              </w:rPr>
                              <w:t>四</w:t>
                            </w:r>
                            <w:r>
                              <w:rPr>
                                <w:rFonts w:hint="eastAsia" w:ascii="宋体" w:hAnsi="宋体"/>
                                <w:spacing w:val="38"/>
                                <w:sz w:val="24"/>
                              </w:rPr>
                              <w:t>次会议材料之</w:t>
                            </w:r>
                            <w:r>
                              <w:rPr>
                                <w:rFonts w:hint="eastAsia" w:ascii="宋体" w:hAnsi="宋体"/>
                                <w:spacing w:val="38"/>
                                <w:sz w:val="24"/>
                                <w:lang w:val="en-US" w:eastAsia="zh-CN"/>
                              </w:rPr>
                              <w:t>三</w:t>
                            </w:r>
                          </w:p>
                        </w:txbxContent>
                      </wps:txbx>
                      <wps:bodyPr upright="1"/>
                    </wps:wsp>
                  </a:graphicData>
                </a:graphic>
              </wp:anchor>
            </w:drawing>
          </mc:Choice>
          <mc:Fallback>
            <w:pict>
              <v:shape id="_x0000_s1026" o:spid="_x0000_s1026" o:spt="202" type="#_x0000_t202" style="position:absolute;left:0pt;margin-left:-3.1pt;margin-top:7.05pt;height:46.25pt;width:232.8pt;z-index:251659264;mso-width-relative:page;mso-height-relative:page;" fillcolor="#FFFFFF" filled="t" stroked="t" coordsize="21600,21600" o:gfxdata="UEsDBAoAAAAAAIdO4kAAAAAAAAAAAAAAAAAEAAAAZHJzL1BLAwQUAAAACACHTuJA+5pm3dgAAAAJ&#10;AQAADwAAAGRycy9kb3ducmV2LnhtbE2PzU7DMBCE70i8g7VIXFBrpwTThjg9IIHgVgqCqxtvkwj/&#10;BNtNy9uznOC4M6PZb+r1yVk2YUxD8AqKuQCGvg1m8J2Ct9eH2RJYytobbYNHBd+YYN2cn9W6MuHo&#10;X3Da5o5RiU+VVtDnPFacp7ZHp9M8jOjJ24fodKYzdtxEfaRyZ/lCCMmdHjx96PWI9z22n9uDU7As&#10;n6aP9Hy9eW/l3q7y1e30+BWVurwoxB2wjKf8F4ZffEKHhph24eBNYlbBTC4oSXpZACO/vFmVwHYk&#10;CCmBNzX/v6D5AVBLAwQUAAAACACHTuJAZQiX+woCAAA2BAAADgAAAGRycy9lMm9Eb2MueG1srVPN&#10;jtMwEL4j8Q6W7zRtUbq7UdOVoJQLAqSFB3BtJ7HkP3ncJn0BeANOXLjzXH2OHTul+wOHHsjBGXs+&#10;fzPzzXh5OxhN9jKAcrams8mUEmm5E8q2Nf36ZfPqmhKIzAqmnZU1PUigt6uXL5a9r+TcdU4LGQiS&#10;WKh6X9MuRl8VBfBOGgYT56VFZ+OCYRG3oS1EYD2yG13Mp9NF0bsgfHBcAuDpenTSE2O4hNA1jeJy&#10;7fjOSBtH1iA1i1gSdMoDXeVsm0by+KlpQEaia4qVxrxiELS3aS1WS1a1gflO8VMK7JIUntVkmLIY&#10;9Ey1ZpGRXVB/URnFgwPXxAl3phgLyYpgFbPpM23uOuZlrgWlBn8WHf4fLf+4/xyIEjgJlFhmsOHH&#10;H9+PP38ff30jsyRP76FC1J1HXBzeuCFBT+eAh6nqoQkm/bEegn4U93AWVw6RcDyc35SLcoEujr7y&#10;+ur1VZloiofbPkB8L50hyahpwOZlTdn+A8QR+geSgoHTSmyU1nkT2u1bHcieYaM3+TuxP4FpS/qa&#10;3pTzEvNgOL0NTg2axqMCYNsc78kNeEw8zd+/iFNiawbdmEBmSDBWGRVlyFYnmXhnBYkHjypbfFw0&#10;JWOkoERLfIvJysjIlL4EidppixKmFo2tSFYctgPSJHPrxAHbtvNBtR1KmhuX4ThOWfvT6Kd5fbzP&#10;pA/PfXU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pm3dgAAAAJAQAADwAAAAAAAAABACAAAAAi&#10;AAAAZHJzL2Rvd25yZXYueG1sUEsBAhQAFAAAAAgAh07iQGUIl/sKAgAANgQAAA4AAAAAAAAAAQAg&#10;AAAAJwEAAGRycy9lMm9Eb2MueG1sUEsFBgAAAAAGAAYAWQEAAKMFAAAAAA==&#10;">
                <v:fill on="t" focussize="0,0"/>
                <v:stroke color="#000000" joinstyle="miter"/>
                <v:imagedata o:title=""/>
                <o:lock v:ext="edit" aspectratio="f"/>
                <v:textbox>
                  <w:txbxContent>
                    <w:p w14:paraId="2E26CFA0">
                      <w:pPr>
                        <w:spacing w:line="400" w:lineRule="exact"/>
                        <w:jc w:val="distribute"/>
                        <w:rPr>
                          <w:rFonts w:hint="eastAsia" w:ascii="宋体" w:hAnsi="宋体"/>
                          <w:sz w:val="24"/>
                        </w:rPr>
                      </w:pPr>
                      <w:r>
                        <w:rPr>
                          <w:rFonts w:hint="eastAsia" w:ascii="宋体" w:hAnsi="宋体"/>
                          <w:sz w:val="24"/>
                        </w:rPr>
                        <w:t>肃南裕固族自治县第</w:t>
                      </w:r>
                      <w:r>
                        <w:rPr>
                          <w:rFonts w:hint="eastAsia" w:ascii="宋体" w:hAnsi="宋体"/>
                          <w:sz w:val="24"/>
                          <w:lang w:val="en-US" w:eastAsia="zh-CN"/>
                        </w:rPr>
                        <w:t>十九</w:t>
                      </w:r>
                      <w:r>
                        <w:rPr>
                          <w:rFonts w:hint="eastAsia" w:ascii="宋体" w:hAnsi="宋体"/>
                          <w:sz w:val="24"/>
                        </w:rPr>
                        <w:t>届人民代表大会</w:t>
                      </w:r>
                    </w:p>
                    <w:p w14:paraId="0B3B8EDF">
                      <w:pPr>
                        <w:spacing w:line="400" w:lineRule="exact"/>
                        <w:jc w:val="distribute"/>
                        <w:rPr>
                          <w:rFonts w:hint="eastAsia" w:ascii="宋体" w:hAnsi="宋体" w:eastAsia="宋体"/>
                          <w:spacing w:val="38"/>
                          <w:sz w:val="24"/>
                          <w:lang w:val="en-US" w:eastAsia="zh-CN"/>
                        </w:rPr>
                      </w:pPr>
                      <w:r>
                        <w:rPr>
                          <w:rFonts w:hint="eastAsia" w:ascii="宋体" w:hAnsi="宋体"/>
                          <w:spacing w:val="38"/>
                          <w:sz w:val="24"/>
                        </w:rPr>
                        <w:t>第</w:t>
                      </w:r>
                      <w:r>
                        <w:rPr>
                          <w:rFonts w:hint="eastAsia" w:ascii="宋体" w:hAnsi="宋体"/>
                          <w:spacing w:val="38"/>
                          <w:sz w:val="24"/>
                          <w:lang w:eastAsia="zh-CN"/>
                        </w:rPr>
                        <w:t>四</w:t>
                      </w:r>
                      <w:r>
                        <w:rPr>
                          <w:rFonts w:hint="eastAsia" w:ascii="宋体" w:hAnsi="宋体"/>
                          <w:spacing w:val="38"/>
                          <w:sz w:val="24"/>
                        </w:rPr>
                        <w:t>次会议材料之</w:t>
                      </w:r>
                      <w:r>
                        <w:rPr>
                          <w:rFonts w:hint="eastAsia" w:ascii="宋体" w:hAnsi="宋体"/>
                          <w:spacing w:val="38"/>
                          <w:sz w:val="24"/>
                          <w:lang w:val="en-US" w:eastAsia="zh-CN"/>
                        </w:rPr>
                        <w:t>三</w:t>
                      </w:r>
                    </w:p>
                  </w:txbxContent>
                </v:textbox>
              </v:shape>
            </w:pict>
          </mc:Fallback>
        </mc:AlternateContent>
      </w:r>
    </w:p>
    <w:p w14:paraId="5CECD629">
      <w:pPr>
        <w:keepNext w:val="0"/>
        <w:keepLines w:val="0"/>
        <w:pageBreakBefore w:val="0"/>
        <w:kinsoku/>
        <w:topLinePunct w:val="0"/>
        <w:autoSpaceDE/>
        <w:autoSpaceDN/>
        <w:bidi w:val="0"/>
        <w:snapToGrid w:val="0"/>
        <w:spacing w:line="560" w:lineRule="exact"/>
        <w:textAlignment w:val="baseline"/>
        <w:rPr>
          <w:rFonts w:ascii="华文中宋" w:hAnsi="华文中宋" w:eastAsia="华文中宋"/>
          <w:b/>
          <w:kern w:val="0"/>
          <w:sz w:val="44"/>
          <w:szCs w:val="44"/>
          <w:highlight w:val="none"/>
          <w:u w:color="000000"/>
        </w:rPr>
      </w:pPr>
    </w:p>
    <w:p w14:paraId="7051C762">
      <w:pPr>
        <w:keepNext w:val="0"/>
        <w:keepLines w:val="0"/>
        <w:pageBreakBefore w:val="0"/>
        <w:kinsoku/>
        <w:topLinePunct w:val="0"/>
        <w:autoSpaceDE/>
        <w:autoSpaceDN/>
        <w:bidi w:val="0"/>
        <w:snapToGrid w:val="0"/>
        <w:spacing w:line="560" w:lineRule="exact"/>
        <w:textAlignment w:val="baseline"/>
        <w:rPr>
          <w:rFonts w:ascii="华文中宋" w:hAnsi="华文中宋" w:eastAsia="华文中宋"/>
          <w:b/>
          <w:kern w:val="0"/>
          <w:sz w:val="44"/>
          <w:szCs w:val="44"/>
          <w:highlight w:val="none"/>
          <w:u w:color="000000"/>
        </w:rPr>
      </w:pPr>
    </w:p>
    <w:p w14:paraId="6EE5874F">
      <w:pPr>
        <w:keepNext w:val="0"/>
        <w:keepLines w:val="0"/>
        <w:pageBreakBefore w:val="0"/>
        <w:kinsoku/>
        <w:topLinePunct w:val="0"/>
        <w:autoSpaceDE/>
        <w:autoSpaceDN/>
        <w:bidi w:val="0"/>
        <w:snapToGrid w:val="0"/>
        <w:spacing w:line="560" w:lineRule="exact"/>
        <w:jc w:val="center"/>
        <w:textAlignment w:val="baseline"/>
        <w:rPr>
          <w:rFonts w:ascii="华文中宋" w:hAnsi="华文中宋" w:eastAsia="华文中宋"/>
          <w:b/>
          <w:kern w:val="0"/>
          <w:sz w:val="44"/>
          <w:szCs w:val="44"/>
          <w:highlight w:val="none"/>
          <w:u w:color="000000"/>
        </w:rPr>
      </w:pPr>
    </w:p>
    <w:p w14:paraId="02F4073D">
      <w:pPr>
        <w:keepNext w:val="0"/>
        <w:keepLines w:val="0"/>
        <w:pageBreakBefore w:val="0"/>
        <w:widowControl w:val="0"/>
        <w:kinsoku/>
        <w:wordWrap/>
        <w:overflowPunct/>
        <w:topLinePunct w:val="0"/>
        <w:autoSpaceDE/>
        <w:autoSpaceDN/>
        <w:bidi w:val="0"/>
        <w:adjustRightInd/>
        <w:snapToGrid w:val="0"/>
        <w:spacing w:line="800" w:lineRule="exact"/>
        <w:jc w:val="center"/>
        <w:textAlignment w:val="baseline"/>
        <w:rPr>
          <w:rFonts w:ascii="华文中宋" w:hAnsi="华文中宋" w:eastAsia="华文中宋"/>
          <w:b/>
          <w:kern w:val="0"/>
          <w:sz w:val="44"/>
          <w:szCs w:val="44"/>
          <w:highlight w:val="none"/>
          <w:u w:color="000000"/>
        </w:rPr>
      </w:pPr>
    </w:p>
    <w:p w14:paraId="09399C0B">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ascii="方正小标宋简体" w:eastAsia="方正小标宋简体" w:cs="方正小标宋简体"/>
          <w:sz w:val="66"/>
          <w:szCs w:val="66"/>
          <w:highlight w:val="none"/>
        </w:rPr>
      </w:pPr>
      <w:r>
        <w:rPr>
          <w:rFonts w:hint="eastAsia" w:ascii="方正小标宋简体" w:eastAsia="方正小标宋简体" w:cs="方正小标宋简体"/>
          <w:sz w:val="66"/>
          <w:szCs w:val="66"/>
          <w:highlight w:val="none"/>
        </w:rPr>
        <w:t>关于自治县202</w:t>
      </w:r>
      <w:r>
        <w:rPr>
          <w:rFonts w:hint="eastAsia" w:ascii="方正小标宋简体" w:eastAsia="方正小标宋简体" w:cs="方正小标宋简体"/>
          <w:sz w:val="66"/>
          <w:szCs w:val="66"/>
          <w:highlight w:val="none"/>
          <w:lang w:val="en-US" w:eastAsia="zh-CN"/>
        </w:rPr>
        <w:t>4</w:t>
      </w:r>
      <w:r>
        <w:rPr>
          <w:rFonts w:hint="eastAsia" w:ascii="方正小标宋简体" w:eastAsia="方正小标宋简体" w:cs="方正小标宋简体"/>
          <w:sz w:val="66"/>
          <w:szCs w:val="66"/>
          <w:highlight w:val="none"/>
        </w:rPr>
        <w:t>年</w:t>
      </w:r>
    </w:p>
    <w:p w14:paraId="0E1B3A79">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ascii="方正小标宋简体" w:eastAsia="方正小标宋简体" w:cs="方正小标宋简体"/>
          <w:sz w:val="66"/>
          <w:szCs w:val="66"/>
          <w:highlight w:val="none"/>
        </w:rPr>
      </w:pPr>
      <w:r>
        <w:rPr>
          <w:rFonts w:hint="eastAsia" w:ascii="方正小标宋简体" w:eastAsia="方正小标宋简体" w:cs="方正小标宋简体"/>
          <w:sz w:val="66"/>
          <w:szCs w:val="66"/>
          <w:highlight w:val="none"/>
        </w:rPr>
        <w:t>财政预算执行情况及202</w:t>
      </w:r>
      <w:r>
        <w:rPr>
          <w:rFonts w:hint="eastAsia" w:ascii="方正小标宋简体" w:eastAsia="方正小标宋简体" w:cs="方正小标宋简体"/>
          <w:sz w:val="66"/>
          <w:szCs w:val="66"/>
          <w:highlight w:val="none"/>
          <w:lang w:val="en-US" w:eastAsia="zh-CN"/>
        </w:rPr>
        <w:t>5</w:t>
      </w:r>
      <w:r>
        <w:rPr>
          <w:rFonts w:hint="eastAsia" w:ascii="方正小标宋简体" w:eastAsia="方正小标宋简体" w:cs="方正小标宋简体"/>
          <w:sz w:val="66"/>
          <w:szCs w:val="66"/>
          <w:highlight w:val="none"/>
        </w:rPr>
        <w:t>年</w:t>
      </w:r>
    </w:p>
    <w:p w14:paraId="070A3AE6">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ascii="方正小标宋简体" w:eastAsia="方正小标宋简体" w:cs="方正小标宋简体"/>
          <w:sz w:val="66"/>
          <w:szCs w:val="66"/>
          <w:highlight w:val="none"/>
        </w:rPr>
      </w:pPr>
      <w:r>
        <w:rPr>
          <w:rFonts w:hint="eastAsia" w:ascii="方正小标宋简体" w:eastAsia="方正小标宋简体" w:cs="方正小标宋简体"/>
          <w:sz w:val="66"/>
          <w:szCs w:val="66"/>
          <w:highlight w:val="none"/>
        </w:rPr>
        <w:t>财政预算（草案）的</w:t>
      </w:r>
    </w:p>
    <w:p w14:paraId="7827771A">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ascii="方正魏碑简体" w:hAnsi="方正魏碑简体" w:eastAsia="方正魏碑简体" w:cs="方正魏碑简体"/>
          <w:sz w:val="100"/>
          <w:szCs w:val="100"/>
          <w:highlight w:val="none"/>
        </w:rPr>
      </w:pPr>
      <w:r>
        <w:rPr>
          <w:rFonts w:hint="eastAsia" w:ascii="方正魏碑简体" w:hAnsi="方正魏碑简体" w:eastAsia="方正魏碑简体" w:cs="方正魏碑简体"/>
          <w:sz w:val="100"/>
          <w:szCs w:val="100"/>
          <w:highlight w:val="none"/>
        </w:rPr>
        <w:t>报  告</w:t>
      </w:r>
    </w:p>
    <w:p w14:paraId="1C4265F6">
      <w:pPr>
        <w:keepNext w:val="0"/>
        <w:keepLines w:val="0"/>
        <w:pageBreakBefore w:val="0"/>
        <w:kinsoku/>
        <w:topLinePunct w:val="0"/>
        <w:autoSpaceDE/>
        <w:autoSpaceDN/>
        <w:bidi w:val="0"/>
        <w:spacing w:line="560" w:lineRule="exact"/>
        <w:jc w:val="center"/>
        <w:rPr>
          <w:rFonts w:ascii="楷体_GB2312" w:eastAsia="楷体_GB2312"/>
          <w:highlight w:val="none"/>
          <w:u w:color="000000"/>
        </w:rPr>
      </w:pPr>
    </w:p>
    <w:p w14:paraId="72A0E485">
      <w:pPr>
        <w:keepNext w:val="0"/>
        <w:keepLines w:val="0"/>
        <w:pageBreakBefore w:val="0"/>
        <w:kinsoku/>
        <w:topLinePunct w:val="0"/>
        <w:autoSpaceDE/>
        <w:autoSpaceDN/>
        <w:bidi w:val="0"/>
        <w:spacing w:line="560" w:lineRule="exact"/>
        <w:jc w:val="center"/>
        <w:rPr>
          <w:rFonts w:ascii="楷体_GB2312" w:eastAsia="楷体_GB2312"/>
          <w:highlight w:val="none"/>
          <w:u w:color="000000"/>
        </w:rPr>
      </w:pPr>
    </w:p>
    <w:p w14:paraId="5E8D3030">
      <w:pPr>
        <w:keepNext w:val="0"/>
        <w:keepLines w:val="0"/>
        <w:pageBreakBefore w:val="0"/>
        <w:widowControl/>
        <w:kinsoku/>
        <w:overflowPunct w:val="0"/>
        <w:topLinePunct w:val="0"/>
        <w:autoSpaceDE/>
        <w:autoSpaceDN/>
        <w:bidi w:val="0"/>
        <w:spacing w:line="560" w:lineRule="exact"/>
        <w:jc w:val="center"/>
        <w:rPr>
          <w:rFonts w:ascii="楷体_GB2312" w:hAnsi="楷体_GB2312" w:eastAsia="楷体_GB2312" w:cs="楷体_GB2312"/>
          <w:sz w:val="32"/>
          <w:szCs w:val="32"/>
          <w:highlight w:val="none"/>
        </w:rPr>
      </w:pPr>
      <w:r>
        <w:rPr>
          <w:rFonts w:hint="eastAsia" w:ascii="黑体" w:hAnsi="黑体" w:eastAsia="黑体" w:cs="黑体"/>
          <w:sz w:val="32"/>
          <w:szCs w:val="32"/>
          <w:highlight w:val="none"/>
        </w:rPr>
        <w:t>——</w:t>
      </w:r>
      <w:r>
        <w:rPr>
          <w:rFonts w:hint="eastAsia" w:ascii="楷体_GB2312" w:hAnsi="楷体_GB2312" w:eastAsia="楷体_GB2312" w:cs="楷体_GB2312"/>
          <w:sz w:val="32"/>
          <w:szCs w:val="32"/>
          <w:highlight w:val="none"/>
        </w:rPr>
        <w:t>202</w:t>
      </w:r>
      <w:r>
        <w:rPr>
          <w:rFonts w:hint="eastAsia" w:ascii="楷体_GB2312" w:hAnsi="楷体_GB2312" w:eastAsia="楷体_GB2312" w:cs="楷体_GB2312"/>
          <w:sz w:val="32"/>
          <w:szCs w:val="32"/>
          <w:highlight w:val="none"/>
          <w:lang w:val="en-US" w:eastAsia="zh-CN"/>
        </w:rPr>
        <w:t>5</w:t>
      </w:r>
      <w:r>
        <w:rPr>
          <w:rFonts w:hint="eastAsia" w:ascii="楷体_GB2312" w:hAnsi="楷体_GB2312" w:eastAsia="楷体_GB2312" w:cs="楷体_GB2312"/>
          <w:sz w:val="32"/>
          <w:szCs w:val="32"/>
          <w:highlight w:val="none"/>
        </w:rPr>
        <w:t>年</w:t>
      </w:r>
      <w:r>
        <w:rPr>
          <w:rFonts w:hint="eastAsia" w:ascii="楷体_GB2312" w:hAnsi="楷体_GB2312" w:eastAsia="楷体_GB2312" w:cs="楷体_GB2312"/>
          <w:sz w:val="32"/>
          <w:szCs w:val="32"/>
          <w:highlight w:val="none"/>
          <w:lang w:val="en-US" w:eastAsia="zh-CN"/>
        </w:rPr>
        <w:t>1</w:t>
      </w:r>
      <w:r>
        <w:rPr>
          <w:rFonts w:hint="eastAsia" w:ascii="楷体_GB2312" w:hAnsi="楷体_GB2312" w:eastAsia="楷体_GB2312" w:cs="楷体_GB2312"/>
          <w:sz w:val="32"/>
          <w:szCs w:val="32"/>
          <w:highlight w:val="none"/>
        </w:rPr>
        <w:t>月</w:t>
      </w:r>
      <w:r>
        <w:rPr>
          <w:rFonts w:hint="eastAsia" w:ascii="楷体_GB2312" w:hAnsi="楷体_GB2312" w:eastAsia="楷体_GB2312" w:cs="楷体_GB2312"/>
          <w:sz w:val="32"/>
          <w:szCs w:val="32"/>
          <w:highlight w:val="none"/>
          <w:lang w:val="en-US" w:eastAsia="zh-CN"/>
        </w:rPr>
        <w:t>8</w:t>
      </w:r>
      <w:r>
        <w:rPr>
          <w:rFonts w:hint="eastAsia" w:ascii="楷体_GB2312" w:hAnsi="楷体_GB2312" w:eastAsia="楷体_GB2312" w:cs="楷体_GB2312"/>
          <w:sz w:val="32"/>
          <w:szCs w:val="32"/>
          <w:highlight w:val="none"/>
        </w:rPr>
        <w:t>日在肃南裕固族自治县</w:t>
      </w:r>
    </w:p>
    <w:p w14:paraId="7D9A83ED">
      <w:pPr>
        <w:keepNext w:val="0"/>
        <w:keepLines w:val="0"/>
        <w:pageBreakBefore w:val="0"/>
        <w:widowControl/>
        <w:kinsoku/>
        <w:overflowPunct w:val="0"/>
        <w:topLinePunct w:val="0"/>
        <w:autoSpaceDE/>
        <w:autoSpaceDN/>
        <w:bidi w:val="0"/>
        <w:spacing w:line="560" w:lineRule="exact"/>
        <w:jc w:val="center"/>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第</w:t>
      </w:r>
      <w:r>
        <w:rPr>
          <w:rFonts w:hint="eastAsia" w:ascii="楷体_GB2312" w:hAnsi="楷体_GB2312" w:eastAsia="楷体_GB2312" w:cs="楷体_GB2312"/>
          <w:sz w:val="32"/>
          <w:szCs w:val="32"/>
          <w:highlight w:val="none"/>
          <w:lang w:val="en-US" w:eastAsia="zh-CN"/>
        </w:rPr>
        <w:t>十九</w:t>
      </w:r>
      <w:r>
        <w:rPr>
          <w:rFonts w:hint="eastAsia" w:ascii="楷体_GB2312" w:hAnsi="楷体_GB2312" w:eastAsia="楷体_GB2312" w:cs="楷体_GB2312"/>
          <w:sz w:val="32"/>
          <w:szCs w:val="32"/>
          <w:highlight w:val="none"/>
          <w:lang w:eastAsia="zh-CN"/>
        </w:rPr>
        <w:t>届</w:t>
      </w:r>
      <w:r>
        <w:rPr>
          <w:rFonts w:hint="eastAsia" w:ascii="楷体_GB2312" w:hAnsi="楷体_GB2312" w:eastAsia="楷体_GB2312" w:cs="楷体_GB2312"/>
          <w:sz w:val="32"/>
          <w:szCs w:val="32"/>
          <w:highlight w:val="none"/>
        </w:rPr>
        <w:t>人民代表大会第</w:t>
      </w:r>
      <w:r>
        <w:rPr>
          <w:rFonts w:hint="eastAsia" w:ascii="楷体_GB2312" w:hAnsi="楷体_GB2312" w:eastAsia="楷体_GB2312" w:cs="楷体_GB2312"/>
          <w:sz w:val="32"/>
          <w:szCs w:val="32"/>
          <w:highlight w:val="none"/>
          <w:lang w:val="en-US" w:eastAsia="zh-CN"/>
        </w:rPr>
        <w:t>四</w:t>
      </w:r>
      <w:r>
        <w:rPr>
          <w:rFonts w:hint="eastAsia" w:ascii="楷体_GB2312" w:hAnsi="楷体_GB2312" w:eastAsia="楷体_GB2312" w:cs="楷体_GB2312"/>
          <w:sz w:val="32"/>
          <w:szCs w:val="32"/>
          <w:highlight w:val="none"/>
        </w:rPr>
        <w:t>次会议上</w:t>
      </w:r>
    </w:p>
    <w:p w14:paraId="5D216FF4">
      <w:pPr>
        <w:keepNext w:val="0"/>
        <w:keepLines w:val="0"/>
        <w:pageBreakBefore w:val="0"/>
        <w:kinsoku/>
        <w:topLinePunct w:val="0"/>
        <w:autoSpaceDE/>
        <w:autoSpaceDN/>
        <w:bidi w:val="0"/>
        <w:snapToGrid w:val="0"/>
        <w:spacing w:before="312" w:beforeLines="100" w:after="312" w:afterLines="100" w:line="560" w:lineRule="exact"/>
        <w:jc w:val="both"/>
        <w:textAlignment w:val="baseline"/>
        <w:rPr>
          <w:rFonts w:ascii="仿宋_GB2312" w:hAnsi="宋体" w:eastAsia="仿宋_GB2312"/>
          <w:b/>
          <w:kern w:val="0"/>
          <w:sz w:val="36"/>
          <w:szCs w:val="36"/>
          <w:highlight w:val="none"/>
          <w:u w:color="000000"/>
        </w:rPr>
      </w:pPr>
    </w:p>
    <w:p w14:paraId="19096045">
      <w:pPr>
        <w:keepNext w:val="0"/>
        <w:keepLines w:val="0"/>
        <w:pageBreakBefore w:val="0"/>
        <w:kinsoku/>
        <w:topLinePunct w:val="0"/>
        <w:autoSpaceDE/>
        <w:autoSpaceDN/>
        <w:bidi w:val="0"/>
        <w:snapToGrid w:val="0"/>
        <w:spacing w:before="312" w:beforeLines="100" w:after="312" w:afterLines="100" w:line="560" w:lineRule="exact"/>
        <w:jc w:val="center"/>
        <w:textAlignment w:val="baseline"/>
        <w:rPr>
          <w:rFonts w:ascii="仿宋_GB2312" w:hAnsi="宋体" w:eastAsia="仿宋_GB2312"/>
          <w:b/>
          <w:kern w:val="0"/>
          <w:sz w:val="36"/>
          <w:szCs w:val="36"/>
          <w:highlight w:val="none"/>
          <w:u w:color="000000"/>
        </w:rPr>
      </w:pPr>
    </w:p>
    <w:p w14:paraId="0AF589FD">
      <w:pPr>
        <w:keepNext w:val="0"/>
        <w:keepLines w:val="0"/>
        <w:pageBreakBefore w:val="0"/>
        <w:kinsoku/>
        <w:topLinePunct w:val="0"/>
        <w:autoSpaceDE/>
        <w:autoSpaceDN/>
        <w:bidi w:val="0"/>
        <w:snapToGrid w:val="0"/>
        <w:spacing w:before="312" w:beforeLines="100" w:after="312" w:afterLines="100" w:line="560" w:lineRule="exact"/>
        <w:jc w:val="center"/>
        <w:textAlignment w:val="baseline"/>
        <w:rPr>
          <w:rFonts w:ascii="楷体_GB2312" w:hAnsi="楷体_GB2312" w:eastAsia="楷体_GB2312" w:cs="楷体_GB2312"/>
          <w:b/>
          <w:bCs w:val="0"/>
          <w:kern w:val="0"/>
          <w:sz w:val="36"/>
          <w:szCs w:val="36"/>
          <w:highlight w:val="none"/>
          <w:u w:color="000000"/>
        </w:rPr>
      </w:pPr>
      <w:r>
        <w:rPr>
          <w:rFonts w:hint="eastAsia" w:ascii="楷体_GB2312" w:hAnsi="楷体_GB2312" w:eastAsia="楷体_GB2312" w:cs="楷体_GB2312"/>
          <w:b/>
          <w:bCs w:val="0"/>
          <w:kern w:val="0"/>
          <w:sz w:val="36"/>
          <w:szCs w:val="36"/>
          <w:highlight w:val="none"/>
          <w:u w:color="000000"/>
        </w:rPr>
        <w:t>肃南裕固族自治县财政局局长  孙玉国</w:t>
      </w:r>
    </w:p>
    <w:p w14:paraId="2351D965">
      <w:pPr>
        <w:keepNext w:val="0"/>
        <w:keepLines w:val="0"/>
        <w:pageBreakBefore w:val="0"/>
        <w:kinsoku/>
        <w:topLinePunct w:val="0"/>
        <w:autoSpaceDE/>
        <w:autoSpaceDN/>
        <w:bidi w:val="0"/>
        <w:snapToGrid w:val="0"/>
        <w:spacing w:before="312" w:beforeLines="100" w:after="312" w:afterLines="100" w:line="560" w:lineRule="exact"/>
        <w:jc w:val="center"/>
        <w:textAlignment w:val="baseline"/>
        <w:rPr>
          <w:rFonts w:ascii="楷体_GB2312" w:hAnsi="楷体_GB2312" w:eastAsia="楷体_GB2312" w:cs="楷体_GB2312"/>
          <w:b/>
          <w:kern w:val="0"/>
          <w:sz w:val="36"/>
          <w:szCs w:val="36"/>
          <w:highlight w:val="none"/>
          <w:u w:color="000000"/>
        </w:rPr>
      </w:pPr>
    </w:p>
    <w:p w14:paraId="57E8C46E">
      <w:pPr>
        <w:keepNext w:val="0"/>
        <w:keepLines w:val="0"/>
        <w:pageBreakBefore w:val="0"/>
        <w:kinsoku/>
        <w:topLinePunct w:val="0"/>
        <w:autoSpaceDE/>
        <w:autoSpaceDN/>
        <w:bidi w:val="0"/>
        <w:snapToGrid w:val="0"/>
        <w:spacing w:before="312" w:beforeLines="100" w:after="312" w:afterLines="100" w:line="560" w:lineRule="exact"/>
        <w:jc w:val="center"/>
        <w:textAlignment w:val="baseline"/>
        <w:rPr>
          <w:rFonts w:ascii="楷体_GB2312" w:hAnsi="楷体_GB2312" w:eastAsia="楷体_GB2312" w:cs="楷体_GB2312"/>
          <w:b/>
          <w:kern w:val="0"/>
          <w:sz w:val="36"/>
          <w:szCs w:val="36"/>
          <w:highlight w:val="none"/>
          <w:u w:color="000000"/>
        </w:rPr>
      </w:pPr>
    </w:p>
    <w:p w14:paraId="7BEE7FC7">
      <w:pPr>
        <w:keepNext w:val="0"/>
        <w:keepLines w:val="0"/>
        <w:pageBreakBefore w:val="0"/>
        <w:kinsoku/>
        <w:topLinePunct w:val="0"/>
        <w:autoSpaceDE/>
        <w:autoSpaceDN/>
        <w:bidi w:val="0"/>
        <w:snapToGrid w:val="0"/>
        <w:spacing w:before="312" w:beforeLines="100" w:after="312" w:afterLines="100" w:line="560" w:lineRule="exact"/>
        <w:jc w:val="center"/>
        <w:textAlignment w:val="baseline"/>
        <w:rPr>
          <w:rFonts w:ascii="楷体_GB2312" w:hAnsi="楷体_GB2312" w:eastAsia="楷体_GB2312" w:cs="楷体_GB2312"/>
          <w:b/>
          <w:kern w:val="0"/>
          <w:sz w:val="36"/>
          <w:szCs w:val="36"/>
          <w:highlight w:val="none"/>
          <w:u w:color="000000"/>
        </w:rPr>
      </w:pPr>
    </w:p>
    <w:p w14:paraId="412291C4">
      <w:pPr>
        <w:keepNext w:val="0"/>
        <w:keepLines w:val="0"/>
        <w:pageBreakBefore w:val="0"/>
        <w:kinsoku/>
        <w:topLinePunct w:val="0"/>
        <w:autoSpaceDE/>
        <w:autoSpaceDN/>
        <w:bidi w:val="0"/>
        <w:snapToGrid w:val="0"/>
        <w:spacing w:before="312" w:beforeLines="100" w:after="312" w:afterLines="100" w:line="560" w:lineRule="exact"/>
        <w:jc w:val="center"/>
        <w:textAlignment w:val="baseline"/>
        <w:rPr>
          <w:rFonts w:ascii="楷体_GB2312" w:hAnsi="楷体_GB2312" w:eastAsia="楷体_GB2312" w:cs="楷体_GB2312"/>
          <w:b/>
          <w:kern w:val="0"/>
          <w:sz w:val="36"/>
          <w:szCs w:val="36"/>
          <w:highlight w:val="none"/>
          <w:u w:color="000000"/>
        </w:rPr>
        <w:sectPr>
          <w:footerReference r:id="rId3" w:type="default"/>
          <w:footerReference r:id="rId4" w:type="even"/>
          <w:pgSz w:w="11905" w:h="16838"/>
          <w:pgMar w:top="1587" w:right="1587" w:bottom="1587" w:left="1587" w:header="851" w:footer="1417" w:gutter="0"/>
          <w:pgNumType w:fmt="numberInDash" w:start="1"/>
          <w:cols w:space="0" w:num="1"/>
          <w:docGrid w:type="lines" w:linePitch="317" w:charSpace="0"/>
        </w:sectPr>
      </w:pPr>
    </w:p>
    <w:p w14:paraId="3A31E4A7">
      <w:pPr>
        <w:keepNext w:val="0"/>
        <w:keepLines w:val="0"/>
        <w:pageBreakBefore w:val="0"/>
        <w:kinsoku/>
        <w:topLinePunct w:val="0"/>
        <w:autoSpaceDE/>
        <w:autoSpaceDN/>
        <w:bidi w:val="0"/>
        <w:spacing w:line="560" w:lineRule="exact"/>
        <w:textAlignment w:val="auto"/>
        <w:rPr>
          <w:rFonts w:ascii="黑体" w:eastAsia="黑体" w:cs="Times New Roman"/>
          <w:color w:val="000000" w:themeColor="text1"/>
          <w:sz w:val="32"/>
          <w:szCs w:val="32"/>
          <w:highlight w:val="none"/>
          <w14:textFill>
            <w14:solidFill>
              <w14:schemeClr w14:val="tx1"/>
            </w14:solidFill>
          </w14:textFill>
        </w:rPr>
      </w:pPr>
      <w:r>
        <w:rPr>
          <w:rFonts w:hint="eastAsia"/>
          <w:kern w:val="0"/>
          <w:sz w:val="10"/>
          <w:szCs w:val="10"/>
          <w:highlight w:val="none"/>
          <w:u w:color="000000"/>
        </w:rPr>
        <w:t xml:space="preserve"> </w:t>
      </w:r>
    </w:p>
    <w:p w14:paraId="200412C0">
      <w:pPr>
        <w:keepNext w:val="0"/>
        <w:keepLines w:val="0"/>
        <w:pageBreakBefore w:val="0"/>
        <w:kinsoku/>
        <w:topLinePunct w:val="0"/>
        <w:autoSpaceDE/>
        <w:autoSpaceDN/>
        <w:bidi w:val="0"/>
        <w:spacing w:line="560" w:lineRule="exact"/>
        <w:jc w:val="center"/>
        <w:textAlignment w:val="auto"/>
        <w:rPr>
          <w:rFonts w:hint="eastAsia" w:ascii="方正小标宋简体" w:eastAsia="方正小标宋简体" w:cs="方正小标宋简体"/>
          <w:color w:val="000000" w:themeColor="text1"/>
          <w:sz w:val="44"/>
          <w:szCs w:val="44"/>
          <w:highlight w:val="none"/>
          <w14:textFill>
            <w14:solidFill>
              <w14:schemeClr w14:val="tx1"/>
            </w14:solidFill>
          </w14:textFill>
        </w:rPr>
      </w:pPr>
      <w:r>
        <w:rPr>
          <w:rFonts w:hint="eastAsia" w:ascii="方正小标宋简体" w:eastAsia="方正小标宋简体" w:cs="方正小标宋简体"/>
          <w:color w:val="000000" w:themeColor="text1"/>
          <w:sz w:val="44"/>
          <w:szCs w:val="44"/>
          <w:highlight w:val="none"/>
          <w14:textFill>
            <w14:solidFill>
              <w14:schemeClr w14:val="tx1"/>
            </w14:solidFill>
          </w14:textFill>
        </w:rPr>
        <w:t>关于自治县202</w:t>
      </w:r>
      <w:r>
        <w:rPr>
          <w:rFonts w:hint="eastAsia" w:ascii="方正小标宋简体" w:eastAsia="方正小标宋简体" w:cs="方正小标宋简体"/>
          <w:color w:val="000000" w:themeColor="text1"/>
          <w:sz w:val="44"/>
          <w:szCs w:val="44"/>
          <w:highlight w:val="none"/>
          <w:lang w:val="en-US" w:eastAsia="zh-CN"/>
          <w14:textFill>
            <w14:solidFill>
              <w14:schemeClr w14:val="tx1"/>
            </w14:solidFill>
          </w14:textFill>
        </w:rPr>
        <w:t>4</w:t>
      </w:r>
      <w:r>
        <w:rPr>
          <w:rFonts w:hint="eastAsia" w:ascii="方正小标宋简体" w:eastAsia="方正小标宋简体" w:cs="方正小标宋简体"/>
          <w:color w:val="000000" w:themeColor="text1"/>
          <w:sz w:val="44"/>
          <w:szCs w:val="44"/>
          <w:highlight w:val="none"/>
          <w14:textFill>
            <w14:solidFill>
              <w14:schemeClr w14:val="tx1"/>
            </w14:solidFill>
          </w14:textFill>
        </w:rPr>
        <w:t>年财政预算执行情况及</w:t>
      </w:r>
    </w:p>
    <w:p w14:paraId="0DC8908D">
      <w:pPr>
        <w:keepNext w:val="0"/>
        <w:keepLines w:val="0"/>
        <w:pageBreakBefore w:val="0"/>
        <w:kinsoku/>
        <w:topLinePunct w:val="0"/>
        <w:autoSpaceDE/>
        <w:autoSpaceDN/>
        <w:bidi w:val="0"/>
        <w:spacing w:line="560" w:lineRule="exact"/>
        <w:jc w:val="center"/>
        <w:textAlignment w:val="auto"/>
        <w:rPr>
          <w:rFonts w:ascii="方正小标宋简体" w:eastAsia="方正小标宋简体" w:cs="Times New Roman"/>
          <w:color w:val="000000" w:themeColor="text1"/>
          <w:sz w:val="44"/>
          <w:szCs w:val="44"/>
          <w:highlight w:val="none"/>
          <w14:textFill>
            <w14:solidFill>
              <w14:schemeClr w14:val="tx1"/>
            </w14:solidFill>
          </w14:textFill>
        </w:rPr>
      </w:pPr>
      <w:r>
        <w:rPr>
          <w:rFonts w:hint="eastAsia" w:ascii="方正小标宋简体" w:eastAsia="方正小标宋简体" w:cs="方正小标宋简体"/>
          <w:color w:val="000000" w:themeColor="text1"/>
          <w:sz w:val="44"/>
          <w:szCs w:val="44"/>
          <w:highlight w:val="none"/>
          <w14:textFill>
            <w14:solidFill>
              <w14:schemeClr w14:val="tx1"/>
            </w14:solidFill>
          </w14:textFill>
        </w:rPr>
        <w:t>202</w:t>
      </w:r>
      <w:r>
        <w:rPr>
          <w:rFonts w:hint="eastAsia" w:ascii="方正小标宋简体" w:eastAsia="方正小标宋简体" w:cs="方正小标宋简体"/>
          <w:color w:val="000000" w:themeColor="text1"/>
          <w:sz w:val="44"/>
          <w:szCs w:val="44"/>
          <w:highlight w:val="none"/>
          <w:lang w:val="en-US" w:eastAsia="zh-CN"/>
          <w14:textFill>
            <w14:solidFill>
              <w14:schemeClr w14:val="tx1"/>
            </w14:solidFill>
          </w14:textFill>
        </w:rPr>
        <w:t>5</w:t>
      </w:r>
      <w:r>
        <w:rPr>
          <w:rFonts w:hint="eastAsia" w:ascii="方正小标宋简体" w:eastAsia="方正小标宋简体" w:cs="方正小标宋简体"/>
          <w:color w:val="000000" w:themeColor="text1"/>
          <w:sz w:val="44"/>
          <w:szCs w:val="44"/>
          <w:highlight w:val="none"/>
          <w14:textFill>
            <w14:solidFill>
              <w14:schemeClr w14:val="tx1"/>
            </w14:solidFill>
          </w14:textFill>
        </w:rPr>
        <w:t>年财政预算（草案）的报告</w:t>
      </w:r>
    </w:p>
    <w:p w14:paraId="681D3595">
      <w:pPr>
        <w:pStyle w:val="18"/>
        <w:keepNext w:val="0"/>
        <w:keepLines w:val="0"/>
        <w:pageBreakBefore w:val="0"/>
        <w:widowControl w:val="0"/>
        <w:tabs>
          <w:tab w:val="left" w:pos="6096"/>
        </w:tabs>
        <w:kinsoku/>
        <w:wordWrap/>
        <w:overflowPunct w:val="0"/>
        <w:topLinePunct w:val="0"/>
        <w:autoSpaceDE/>
        <w:autoSpaceDN/>
        <w:bidi w:val="0"/>
        <w:adjustRightInd w:val="0"/>
        <w:snapToGrid w:val="0"/>
        <w:spacing w:line="560" w:lineRule="exact"/>
        <w:ind w:right="0"/>
        <w:jc w:val="center"/>
        <w:textAlignment w:val="auto"/>
        <w:rPr>
          <w:rFonts w:ascii="楷体_GB2312" w:eastAsia="楷体_GB2312" w:cs="楷体_GB2312"/>
          <w:snapToGrid w:val="0"/>
          <w:color w:val="000000" w:themeColor="text1"/>
          <w:kern w:val="0"/>
          <w:sz w:val="32"/>
          <w:szCs w:val="32"/>
          <w:highlight w:val="none"/>
          <w:lang w:val="zh-TW"/>
          <w14:textFill>
            <w14:solidFill>
              <w14:schemeClr w14:val="tx1"/>
            </w14:solidFill>
          </w14:textFill>
        </w:rPr>
      </w:pPr>
    </w:p>
    <w:p w14:paraId="4C1BE0D3">
      <w:pPr>
        <w:keepNext w:val="0"/>
        <w:keepLines w:val="0"/>
        <w:pageBreakBefore w:val="0"/>
        <w:widowControl/>
        <w:kinsoku/>
        <w:overflowPunct w:val="0"/>
        <w:topLinePunct w:val="0"/>
        <w:autoSpaceDE/>
        <w:autoSpaceDN/>
        <w:bidi w:val="0"/>
        <w:spacing w:line="560" w:lineRule="exact"/>
        <w:jc w:val="center"/>
        <w:textAlignment w:val="auto"/>
        <w:rPr>
          <w:rFonts w:ascii="楷体_GB2312" w:hAnsi="楷体_GB2312" w:eastAsia="楷体_GB2312" w:cs="楷体_GB2312"/>
          <w:color w:val="000000" w:themeColor="text1"/>
          <w:spacing w:val="-23"/>
          <w:sz w:val="32"/>
          <w:szCs w:val="32"/>
          <w:highlight w:val="none"/>
          <w14:textFill>
            <w14:solidFill>
              <w14:schemeClr w14:val="tx1"/>
            </w14:solidFill>
          </w14:textFill>
        </w:rPr>
      </w:pPr>
      <w:r>
        <w:rPr>
          <w:rFonts w:hint="eastAsia" w:ascii="黑体" w:eastAsia="黑体"/>
          <w:color w:val="000000" w:themeColor="text1"/>
          <w:spacing w:val="-23"/>
          <w:sz w:val="32"/>
          <w:szCs w:val="32"/>
          <w:highlight w:val="none"/>
          <w14:textFill>
            <w14:solidFill>
              <w14:schemeClr w14:val="tx1"/>
            </w14:solidFill>
          </w14:textFill>
        </w:rPr>
        <w:t>──</w:t>
      </w:r>
      <w:r>
        <w:rPr>
          <w:rFonts w:hint="eastAsia" w:ascii="楷体_GB2312" w:hAnsi="楷体_GB2312" w:eastAsia="楷体_GB2312" w:cs="楷体_GB2312"/>
          <w:color w:val="000000" w:themeColor="text1"/>
          <w:spacing w:val="-23"/>
          <w:sz w:val="32"/>
          <w:szCs w:val="32"/>
          <w:highlight w:val="none"/>
          <w14:textFill>
            <w14:solidFill>
              <w14:schemeClr w14:val="tx1"/>
            </w14:solidFill>
          </w14:textFill>
        </w:rPr>
        <w:t>202</w:t>
      </w:r>
      <w:r>
        <w:rPr>
          <w:rFonts w:hint="eastAsia" w:ascii="楷体_GB2312" w:hAnsi="楷体_GB2312" w:eastAsia="楷体_GB2312" w:cs="楷体_GB2312"/>
          <w:color w:val="000000" w:themeColor="text1"/>
          <w:spacing w:val="-23"/>
          <w:sz w:val="32"/>
          <w:szCs w:val="32"/>
          <w:highlight w:val="none"/>
          <w:lang w:val="en-US" w:eastAsia="zh-CN"/>
          <w14:textFill>
            <w14:solidFill>
              <w14:schemeClr w14:val="tx1"/>
            </w14:solidFill>
          </w14:textFill>
        </w:rPr>
        <w:t>5</w:t>
      </w:r>
      <w:r>
        <w:rPr>
          <w:rFonts w:hint="eastAsia" w:ascii="楷体_GB2312" w:hAnsi="楷体_GB2312" w:eastAsia="楷体_GB2312" w:cs="楷体_GB2312"/>
          <w:color w:val="000000" w:themeColor="text1"/>
          <w:spacing w:val="-23"/>
          <w:sz w:val="32"/>
          <w:szCs w:val="32"/>
          <w:highlight w:val="none"/>
          <w14:textFill>
            <w14:solidFill>
              <w14:schemeClr w14:val="tx1"/>
            </w14:solidFill>
          </w14:textFill>
        </w:rPr>
        <w:t>年</w:t>
      </w:r>
      <w:r>
        <w:rPr>
          <w:rFonts w:hint="eastAsia" w:ascii="楷体_GB2312" w:hAnsi="楷体_GB2312" w:eastAsia="楷体_GB2312" w:cs="楷体_GB2312"/>
          <w:color w:val="000000" w:themeColor="text1"/>
          <w:spacing w:val="-23"/>
          <w:sz w:val="32"/>
          <w:szCs w:val="32"/>
          <w:highlight w:val="none"/>
          <w:lang w:val="en-US" w:eastAsia="zh-CN"/>
          <w14:textFill>
            <w14:solidFill>
              <w14:schemeClr w14:val="tx1"/>
            </w14:solidFill>
          </w14:textFill>
        </w:rPr>
        <w:t>1</w:t>
      </w:r>
      <w:r>
        <w:rPr>
          <w:rFonts w:hint="eastAsia" w:ascii="楷体_GB2312" w:hAnsi="楷体_GB2312" w:eastAsia="楷体_GB2312" w:cs="楷体_GB2312"/>
          <w:color w:val="000000" w:themeColor="text1"/>
          <w:spacing w:val="-23"/>
          <w:sz w:val="32"/>
          <w:szCs w:val="32"/>
          <w:highlight w:val="none"/>
          <w14:textFill>
            <w14:solidFill>
              <w14:schemeClr w14:val="tx1"/>
            </w14:solidFill>
          </w14:textFill>
        </w:rPr>
        <w:t>月</w:t>
      </w:r>
      <w:r>
        <w:rPr>
          <w:rFonts w:hint="eastAsia" w:ascii="楷体_GB2312" w:hAnsi="楷体_GB2312" w:eastAsia="楷体_GB2312" w:cs="楷体_GB2312"/>
          <w:color w:val="000000" w:themeColor="text1"/>
          <w:spacing w:val="-23"/>
          <w:sz w:val="32"/>
          <w:szCs w:val="32"/>
          <w:highlight w:val="none"/>
          <w:lang w:val="en-US" w:eastAsia="zh-CN"/>
          <w14:textFill>
            <w14:solidFill>
              <w14:schemeClr w14:val="tx1"/>
            </w14:solidFill>
          </w14:textFill>
        </w:rPr>
        <w:t>8</w:t>
      </w:r>
      <w:r>
        <w:rPr>
          <w:rFonts w:hint="eastAsia" w:ascii="楷体_GB2312" w:hAnsi="楷体_GB2312" w:eastAsia="楷体_GB2312" w:cs="楷体_GB2312"/>
          <w:color w:val="000000" w:themeColor="text1"/>
          <w:spacing w:val="-23"/>
          <w:sz w:val="32"/>
          <w:szCs w:val="32"/>
          <w:highlight w:val="none"/>
          <w14:textFill>
            <w14:solidFill>
              <w14:schemeClr w14:val="tx1"/>
            </w14:solidFill>
          </w14:textFill>
        </w:rPr>
        <w:t>日在自治县第</w:t>
      </w:r>
      <w:r>
        <w:rPr>
          <w:rFonts w:hint="eastAsia" w:ascii="楷体_GB2312" w:hAnsi="楷体_GB2312" w:eastAsia="楷体_GB2312" w:cs="楷体_GB2312"/>
          <w:color w:val="000000" w:themeColor="text1"/>
          <w:spacing w:val="-23"/>
          <w:sz w:val="32"/>
          <w:szCs w:val="32"/>
          <w:highlight w:val="none"/>
          <w:lang w:val="en-US" w:eastAsia="zh-CN"/>
          <w14:textFill>
            <w14:solidFill>
              <w14:schemeClr w14:val="tx1"/>
            </w14:solidFill>
          </w14:textFill>
        </w:rPr>
        <w:t>十九</w:t>
      </w:r>
      <w:r>
        <w:rPr>
          <w:rFonts w:hint="eastAsia" w:ascii="楷体_GB2312" w:hAnsi="楷体_GB2312" w:eastAsia="楷体_GB2312" w:cs="楷体_GB2312"/>
          <w:color w:val="000000" w:themeColor="text1"/>
          <w:spacing w:val="-23"/>
          <w:sz w:val="32"/>
          <w:szCs w:val="32"/>
          <w:highlight w:val="none"/>
          <w14:textFill>
            <w14:solidFill>
              <w14:schemeClr w14:val="tx1"/>
            </w14:solidFill>
          </w14:textFill>
        </w:rPr>
        <w:t>届人民代表大会第</w:t>
      </w:r>
      <w:r>
        <w:rPr>
          <w:rFonts w:hint="eastAsia" w:ascii="楷体_GB2312" w:hAnsi="楷体_GB2312" w:eastAsia="楷体_GB2312" w:cs="楷体_GB2312"/>
          <w:color w:val="000000" w:themeColor="text1"/>
          <w:spacing w:val="-23"/>
          <w:sz w:val="32"/>
          <w:szCs w:val="32"/>
          <w:highlight w:val="none"/>
          <w:lang w:val="en-US" w:eastAsia="zh-CN"/>
          <w14:textFill>
            <w14:solidFill>
              <w14:schemeClr w14:val="tx1"/>
            </w14:solidFill>
          </w14:textFill>
        </w:rPr>
        <w:t>四</w:t>
      </w:r>
      <w:r>
        <w:rPr>
          <w:rFonts w:hint="eastAsia" w:ascii="楷体_GB2312" w:hAnsi="楷体_GB2312" w:eastAsia="楷体_GB2312" w:cs="楷体_GB2312"/>
          <w:color w:val="000000" w:themeColor="text1"/>
          <w:spacing w:val="-23"/>
          <w:sz w:val="32"/>
          <w:szCs w:val="32"/>
          <w:highlight w:val="none"/>
          <w14:textFill>
            <w14:solidFill>
              <w14:schemeClr w14:val="tx1"/>
            </w14:solidFill>
          </w14:textFill>
        </w:rPr>
        <w:t>次会议上</w:t>
      </w:r>
    </w:p>
    <w:p w14:paraId="39EBC067">
      <w:pPr>
        <w:keepNext w:val="0"/>
        <w:keepLines w:val="0"/>
        <w:pageBreakBefore w:val="0"/>
        <w:kinsoku/>
        <w:topLinePunct w:val="0"/>
        <w:autoSpaceDE/>
        <w:autoSpaceDN/>
        <w:bidi w:val="0"/>
        <w:spacing w:line="560" w:lineRule="exact"/>
        <w:jc w:val="center"/>
        <w:textAlignment w:val="auto"/>
        <w:rPr>
          <w:rFonts w:ascii="楷体_GB2312" w:eastAsia="楷体_GB2312" w:cs="Times New Roman"/>
          <w:color w:val="000000" w:themeColor="text1"/>
          <w:spacing w:val="-10"/>
          <w:sz w:val="32"/>
          <w:szCs w:val="32"/>
          <w:highlight w:val="none"/>
          <w14:textFill>
            <w14:solidFill>
              <w14:schemeClr w14:val="tx1"/>
            </w14:solidFill>
          </w14:textFill>
        </w:rPr>
      </w:pPr>
    </w:p>
    <w:p w14:paraId="76D6A1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肃南裕固族自治县财政局局长  孙玉国</w:t>
      </w:r>
    </w:p>
    <w:p w14:paraId="4346091F">
      <w:pPr>
        <w:keepNext w:val="0"/>
        <w:keepLines w:val="0"/>
        <w:pageBreakBefore w:val="0"/>
        <w:kinsoku/>
        <w:topLinePunct w:val="0"/>
        <w:autoSpaceDE/>
        <w:autoSpaceDN/>
        <w:bidi w:val="0"/>
        <w:spacing w:line="560" w:lineRule="exact"/>
        <w:textAlignment w:val="auto"/>
        <w:rPr>
          <w:rFonts w:ascii="方正小标宋简体" w:eastAsia="方正小标宋简体" w:cs="Times New Roman"/>
          <w:color w:val="000000" w:themeColor="text1"/>
          <w:sz w:val="44"/>
          <w:szCs w:val="44"/>
          <w:highlight w:val="none"/>
          <w14:textFill>
            <w14:solidFill>
              <w14:schemeClr w14:val="tx1"/>
            </w14:solidFill>
          </w14:textFill>
        </w:rPr>
      </w:pPr>
    </w:p>
    <w:p w14:paraId="2B297366">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_GB2312" w:eastAsia="仿宋_GB2312" w:cs="Times New Roman"/>
          <w:color w:val="000000" w:themeColor="text1"/>
          <w:sz w:val="32"/>
          <w:szCs w:val="32"/>
          <w:highlight w:val="none"/>
          <w:lang w:eastAsia="zh-CN"/>
          <w14:textFill>
            <w14:solidFill>
              <w14:schemeClr w14:val="tx1"/>
            </w14:solidFill>
          </w14:textFill>
        </w:rPr>
      </w:pPr>
      <w:r>
        <w:rPr>
          <w:rFonts w:hint="eastAsia" w:ascii="仿宋_GB2312" w:eastAsia="仿宋_GB2312" w:cs="仿宋_GB2312"/>
          <w:color w:val="000000" w:themeColor="text1"/>
          <w:sz w:val="32"/>
          <w:szCs w:val="32"/>
          <w:highlight w:val="none"/>
          <w14:textFill>
            <w14:solidFill>
              <w14:schemeClr w14:val="tx1"/>
            </w14:solidFill>
          </w14:textFill>
        </w:rPr>
        <w:t>各位代表</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p>
    <w:p w14:paraId="6FD5D405">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color w:val="000000" w:themeColor="text1"/>
          <w:sz w:val="32"/>
          <w:szCs w:val="32"/>
          <w:highlight w:val="none"/>
          <w14:textFill>
            <w14:solidFill>
              <w14:schemeClr w14:val="tx1"/>
            </w14:solidFill>
          </w14:textFill>
        </w:rPr>
        <w:t>受自治县人民政府委托，现将</w:t>
      </w:r>
      <w:r>
        <w:rPr>
          <w:rFonts w:ascii="仿宋_GB2312" w:eastAsia="仿宋_GB2312" w:cs="仿宋_GB2312"/>
          <w:color w:val="000000" w:themeColor="text1"/>
          <w:sz w:val="32"/>
          <w:szCs w:val="32"/>
          <w:highlight w:val="none"/>
          <w14:textFill>
            <w14:solidFill>
              <w14:schemeClr w14:val="tx1"/>
            </w14:solidFill>
          </w14:textFill>
        </w:rPr>
        <w:t>自治县</w:t>
      </w:r>
      <w:r>
        <w:rPr>
          <w:rFonts w:hint="eastAsia" w:ascii="仿宋_GB2312" w:eastAsia="仿宋_GB2312" w:cs="仿宋_GB2312"/>
          <w:color w:val="000000" w:themeColor="text1"/>
          <w:sz w:val="32"/>
          <w:szCs w:val="32"/>
          <w:highlight w:val="none"/>
          <w14:textFill>
            <w14:solidFill>
              <w14:schemeClr w14:val="tx1"/>
            </w14:solidFill>
          </w14:textFill>
        </w:rPr>
        <w:t>202</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4</w:t>
      </w:r>
      <w:r>
        <w:rPr>
          <w:rFonts w:hint="eastAsia" w:ascii="仿宋_GB2312" w:eastAsia="仿宋_GB2312" w:cs="仿宋_GB2312"/>
          <w:color w:val="000000" w:themeColor="text1"/>
          <w:sz w:val="32"/>
          <w:szCs w:val="32"/>
          <w:highlight w:val="none"/>
          <w14:textFill>
            <w14:solidFill>
              <w14:schemeClr w14:val="tx1"/>
            </w14:solidFill>
          </w14:textFill>
        </w:rPr>
        <w:t>年财政预算执行</w:t>
      </w:r>
    </w:p>
    <w:p w14:paraId="1BC8812E">
      <w:pPr>
        <w:keepNext w:val="0"/>
        <w:keepLines w:val="0"/>
        <w:pageBreakBefore w:val="0"/>
        <w:widowControl w:val="0"/>
        <w:kinsoku/>
        <w:wordWrap/>
        <w:overflowPunct/>
        <w:topLinePunct w:val="0"/>
        <w:autoSpaceDE/>
        <w:autoSpaceDN/>
        <w:bidi w:val="0"/>
        <w:spacing w:line="560" w:lineRule="exact"/>
        <w:jc w:val="both"/>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color w:val="000000" w:themeColor="text1"/>
          <w:sz w:val="32"/>
          <w:szCs w:val="32"/>
          <w:highlight w:val="none"/>
          <w:lang w:eastAsia="zh-CN"/>
          <w14:textFill>
            <w14:solidFill>
              <w14:schemeClr w14:val="tx1"/>
            </w14:solidFill>
          </w14:textFill>
        </w:rPr>
        <w:t>情况和</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2025年财政预算（草案）提请十九届人大四次会议审议，并</w:t>
      </w:r>
      <w:r>
        <w:rPr>
          <w:rFonts w:hint="eastAsia" w:ascii="仿宋_GB2312" w:eastAsia="仿宋_GB2312" w:cs="仿宋_GB2312"/>
          <w:color w:val="000000" w:themeColor="text1"/>
          <w:sz w:val="32"/>
          <w:szCs w:val="32"/>
          <w:highlight w:val="none"/>
          <w14:textFill>
            <w14:solidFill>
              <w14:schemeClr w14:val="tx1"/>
            </w14:solidFill>
          </w14:textFill>
        </w:rPr>
        <w:t>请</w:t>
      </w:r>
      <w:r>
        <w:rPr>
          <w:rFonts w:ascii="仿宋_GB2312" w:eastAsia="仿宋_GB2312" w:cs="仿宋_GB2312"/>
          <w:color w:val="000000" w:themeColor="text1"/>
          <w:sz w:val="32"/>
          <w:szCs w:val="32"/>
          <w:highlight w:val="none"/>
          <w14:textFill>
            <w14:solidFill>
              <w14:schemeClr w14:val="tx1"/>
            </w14:solidFill>
          </w14:textFill>
        </w:rPr>
        <w:t>各位</w:t>
      </w:r>
      <w:r>
        <w:rPr>
          <w:rFonts w:hint="eastAsia" w:ascii="仿宋_GB2312" w:eastAsia="仿宋_GB2312" w:cs="仿宋_GB2312"/>
          <w:color w:val="000000" w:themeColor="text1"/>
          <w:sz w:val="32"/>
          <w:szCs w:val="32"/>
          <w:highlight w:val="none"/>
          <w14:textFill>
            <w14:solidFill>
              <w14:schemeClr w14:val="tx1"/>
            </w14:solidFill>
          </w14:textFill>
        </w:rPr>
        <w:t>政协委员和列席</w:t>
      </w:r>
      <w:r>
        <w:rPr>
          <w:rFonts w:ascii="仿宋_GB2312" w:eastAsia="仿宋_GB2312" w:cs="仿宋_GB2312"/>
          <w:color w:val="000000" w:themeColor="text1"/>
          <w:sz w:val="32"/>
          <w:szCs w:val="32"/>
          <w:highlight w:val="none"/>
          <w14:textFill>
            <w14:solidFill>
              <w14:schemeClr w14:val="tx1"/>
            </w14:solidFill>
          </w14:textFill>
        </w:rPr>
        <w:t>会议的同志</w:t>
      </w:r>
      <w:r>
        <w:rPr>
          <w:rFonts w:hint="eastAsia" w:ascii="仿宋_GB2312" w:eastAsia="仿宋_GB2312" w:cs="仿宋_GB2312"/>
          <w:color w:val="000000" w:themeColor="text1"/>
          <w:sz w:val="32"/>
          <w:szCs w:val="32"/>
          <w:highlight w:val="none"/>
          <w14:textFill>
            <w14:solidFill>
              <w14:schemeClr w14:val="tx1"/>
            </w14:solidFill>
          </w14:textFill>
        </w:rPr>
        <w:t>提出意见</w:t>
      </w:r>
      <w:r>
        <w:rPr>
          <w:rFonts w:hint="eastAsia" w:ascii="仿宋_GB2312" w:eastAsia="仿宋_GB2312" w:cs="仿宋_GB2312"/>
          <w:color w:val="000000" w:themeColor="text1"/>
          <w:sz w:val="32"/>
          <w:szCs w:val="32"/>
          <w:highlight w:val="none"/>
          <w:lang w:eastAsia="zh-CN"/>
          <w14:textFill>
            <w14:solidFill>
              <w14:schemeClr w14:val="tx1"/>
            </w14:solidFill>
          </w14:textFill>
        </w:rPr>
        <w:t>建议</w:t>
      </w:r>
      <w:r>
        <w:rPr>
          <w:rFonts w:hint="eastAsia" w:ascii="仿宋_GB2312" w:eastAsia="仿宋_GB2312" w:cs="仿宋_GB2312"/>
          <w:color w:val="000000" w:themeColor="text1"/>
          <w:sz w:val="32"/>
          <w:szCs w:val="32"/>
          <w:highlight w:val="none"/>
          <w14:textFill>
            <w14:solidFill>
              <w14:schemeClr w14:val="tx1"/>
            </w14:solidFill>
          </w14:textFill>
        </w:rPr>
        <w:t>。</w:t>
      </w:r>
    </w:p>
    <w:p w14:paraId="27F0C33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eastAsia="黑体" w:cs="楷体_GB2312"/>
          <w:color w:val="000000" w:themeColor="text1"/>
          <w:sz w:val="32"/>
          <w:szCs w:val="32"/>
          <w:highlight w:val="none"/>
          <w14:textFill>
            <w14:solidFill>
              <w14:schemeClr w14:val="tx1"/>
            </w14:solidFill>
          </w14:textFill>
        </w:rPr>
      </w:pPr>
      <w:r>
        <w:rPr>
          <w:rFonts w:hint="eastAsia" w:ascii="黑体" w:eastAsia="黑体" w:cs="楷体_GB2312"/>
          <w:color w:val="000000" w:themeColor="text1"/>
          <w:sz w:val="32"/>
          <w:szCs w:val="32"/>
          <w:highlight w:val="none"/>
          <w14:textFill>
            <w14:solidFill>
              <w14:schemeClr w14:val="tx1"/>
            </w14:solidFill>
          </w14:textFill>
        </w:rPr>
        <w:t>一、202</w:t>
      </w:r>
      <w:r>
        <w:rPr>
          <w:rFonts w:hint="eastAsia" w:ascii="黑体" w:eastAsia="黑体" w:cs="楷体_GB2312"/>
          <w:color w:val="000000" w:themeColor="text1"/>
          <w:sz w:val="32"/>
          <w:szCs w:val="32"/>
          <w:highlight w:val="none"/>
          <w:lang w:val="en-US" w:eastAsia="zh-CN"/>
          <w14:textFill>
            <w14:solidFill>
              <w14:schemeClr w14:val="tx1"/>
            </w14:solidFill>
          </w14:textFill>
        </w:rPr>
        <w:t>4</w:t>
      </w:r>
      <w:r>
        <w:rPr>
          <w:rFonts w:hint="eastAsia" w:ascii="黑体" w:eastAsia="黑体" w:cs="楷体_GB2312"/>
          <w:color w:val="000000" w:themeColor="text1"/>
          <w:sz w:val="32"/>
          <w:szCs w:val="32"/>
          <w:highlight w:val="none"/>
          <w14:textFill>
            <w14:solidFill>
              <w14:schemeClr w14:val="tx1"/>
            </w14:solidFill>
          </w14:textFill>
        </w:rPr>
        <w:t>年</w:t>
      </w:r>
      <w:r>
        <w:rPr>
          <w:rFonts w:hint="eastAsia" w:ascii="黑体" w:eastAsia="黑体" w:cs="楷体_GB2312"/>
          <w:color w:val="000000" w:themeColor="text1"/>
          <w:sz w:val="32"/>
          <w:szCs w:val="32"/>
          <w:highlight w:val="none"/>
          <w:lang w:eastAsia="zh-CN"/>
          <w14:textFill>
            <w14:solidFill>
              <w14:schemeClr w14:val="tx1"/>
            </w14:solidFill>
          </w14:textFill>
        </w:rPr>
        <w:t>财政</w:t>
      </w:r>
      <w:r>
        <w:rPr>
          <w:rFonts w:hint="eastAsia" w:ascii="黑体" w:eastAsia="黑体" w:cs="楷体_GB2312"/>
          <w:color w:val="000000" w:themeColor="text1"/>
          <w:sz w:val="32"/>
          <w:szCs w:val="32"/>
          <w:highlight w:val="none"/>
          <w14:textFill>
            <w14:solidFill>
              <w14:schemeClr w14:val="tx1"/>
            </w14:solidFill>
          </w14:textFill>
        </w:rPr>
        <w:t>预算执行</w:t>
      </w:r>
      <w:r>
        <w:rPr>
          <w:rFonts w:hint="eastAsia" w:ascii="黑体" w:eastAsia="黑体" w:cs="楷体_GB2312"/>
          <w:color w:val="000000" w:themeColor="text1"/>
          <w:sz w:val="32"/>
          <w:szCs w:val="32"/>
          <w:highlight w:val="none"/>
          <w:lang w:eastAsia="zh-CN"/>
          <w14:textFill>
            <w14:solidFill>
              <w14:schemeClr w14:val="tx1"/>
            </w14:solidFill>
          </w14:textFill>
        </w:rPr>
        <w:t>及重点工作</w:t>
      </w:r>
      <w:r>
        <w:rPr>
          <w:rFonts w:hint="eastAsia" w:ascii="黑体" w:eastAsia="黑体" w:cs="楷体_GB2312"/>
          <w:color w:val="000000" w:themeColor="text1"/>
          <w:sz w:val="32"/>
          <w:szCs w:val="32"/>
          <w:highlight w:val="none"/>
          <w14:textFill>
            <w14:solidFill>
              <w14:schemeClr w14:val="tx1"/>
            </w14:solidFill>
          </w14:textFill>
        </w:rPr>
        <w:t>情况</w:t>
      </w:r>
    </w:p>
    <w:p w14:paraId="22F567FA">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楷体_GB2312" w:eastAsia="楷体_GB2312" w:cs="仿宋_GB2312"/>
          <w:b/>
          <w:color w:val="000000" w:themeColor="text1"/>
          <w:sz w:val="32"/>
          <w:szCs w:val="32"/>
          <w:highlight w:val="none"/>
          <w14:textFill>
            <w14:solidFill>
              <w14:schemeClr w14:val="tx1"/>
            </w14:solidFill>
          </w14:textFill>
        </w:rPr>
      </w:pP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2024年，全县财政工作在县委</w:t>
      </w:r>
      <w:r>
        <w:rPr>
          <w:rFonts w:hint="eastAsia" w:ascii="仿宋_GB2312" w:eastAsia="仿宋_GB2312" w:cs="仿宋_GB2312"/>
          <w:color w:val="000000" w:themeColor="text1"/>
          <w:sz w:val="32"/>
          <w:szCs w:val="32"/>
          <w:highlight w:val="none"/>
          <w:lang w:eastAsia="zh-CN"/>
          <w14:textFill>
            <w14:solidFill>
              <w14:schemeClr w14:val="tx1"/>
            </w14:solidFill>
          </w14:textFill>
        </w:rPr>
        <w:t>的</w:t>
      </w:r>
      <w:r>
        <w:rPr>
          <w:rFonts w:hint="eastAsia" w:ascii="仿宋_GB2312" w:eastAsia="仿宋_GB2312" w:cs="仿宋_GB2312"/>
          <w:color w:val="000000" w:themeColor="text1"/>
          <w:sz w:val="32"/>
          <w:szCs w:val="32"/>
          <w:highlight w:val="none"/>
          <w14:textFill>
            <w14:solidFill>
              <w14:schemeClr w14:val="tx1"/>
            </w14:solidFill>
          </w14:textFill>
        </w:rPr>
        <w:t>坚强领导下，</w:t>
      </w:r>
      <w:r>
        <w:rPr>
          <w:rFonts w:hint="eastAsia" w:ascii="仿宋_GB2312" w:eastAsia="仿宋_GB2312" w:cs="仿宋_GB2312"/>
          <w:color w:val="000000" w:themeColor="text1"/>
          <w:sz w:val="32"/>
          <w:szCs w:val="32"/>
          <w:highlight w:val="none"/>
          <w:lang w:eastAsia="zh-CN"/>
          <w14:textFill>
            <w14:solidFill>
              <w14:schemeClr w14:val="tx1"/>
            </w14:solidFill>
          </w14:textFill>
        </w:rPr>
        <w:t>在县人大及其常委会监督指导下，坚持以习近平新时代中国特色社会主义思想为指导，全面贯彻党的二十届三中全会精神，全面落实习近平总书记视察甘肃重要讲话重要指示精神及</w:t>
      </w:r>
      <w:r>
        <w:rPr>
          <w:rFonts w:hint="eastAsia" w:ascii="仿宋_GB2312" w:eastAsia="仿宋_GB2312" w:cs="仿宋_GB2312"/>
          <w:color w:val="000000" w:themeColor="text1"/>
          <w:sz w:val="32"/>
          <w:szCs w:val="32"/>
          <w:highlight w:val="none"/>
          <w14:textFill>
            <w14:solidFill>
              <w14:schemeClr w14:val="tx1"/>
            </w14:solidFill>
          </w14:textFill>
        </w:rPr>
        <w:t>省、市、县</w:t>
      </w:r>
      <w:r>
        <w:rPr>
          <w:rFonts w:hint="eastAsia" w:ascii="仿宋_GB2312" w:eastAsia="仿宋_GB2312" w:cs="仿宋_GB2312"/>
          <w:color w:val="000000" w:themeColor="text1"/>
          <w:sz w:val="32"/>
          <w:szCs w:val="32"/>
          <w:highlight w:val="none"/>
          <w:lang w:eastAsia="zh-CN"/>
          <w14:textFill>
            <w14:solidFill>
              <w14:schemeClr w14:val="tx1"/>
            </w14:solidFill>
          </w14:textFill>
        </w:rPr>
        <w:t>各项</w:t>
      </w:r>
      <w:r>
        <w:rPr>
          <w:rFonts w:hint="eastAsia" w:ascii="仿宋_GB2312" w:eastAsia="仿宋_GB2312" w:cs="仿宋_GB2312"/>
          <w:color w:val="000000" w:themeColor="text1"/>
          <w:sz w:val="32"/>
          <w:szCs w:val="32"/>
          <w:highlight w:val="none"/>
          <w14:textFill>
            <w14:solidFill>
              <w14:schemeClr w14:val="tx1"/>
            </w14:solidFill>
          </w14:textFill>
        </w:rPr>
        <w:t>决策部署。严格执行县十九届人民代表大会第</w:t>
      </w:r>
      <w:r>
        <w:rPr>
          <w:rFonts w:hint="eastAsia" w:ascii="仿宋_GB2312" w:eastAsia="仿宋_GB2312" w:cs="仿宋_GB2312"/>
          <w:color w:val="000000" w:themeColor="text1"/>
          <w:sz w:val="32"/>
          <w:szCs w:val="32"/>
          <w:highlight w:val="none"/>
          <w:lang w:eastAsia="zh-CN"/>
          <w14:textFill>
            <w14:solidFill>
              <w14:schemeClr w14:val="tx1"/>
            </w14:solidFill>
          </w14:textFill>
        </w:rPr>
        <w:t>三</w:t>
      </w:r>
      <w:r>
        <w:rPr>
          <w:rFonts w:hint="eastAsia" w:ascii="仿宋_GB2312" w:eastAsia="仿宋_GB2312" w:cs="仿宋_GB2312"/>
          <w:color w:val="000000" w:themeColor="text1"/>
          <w:sz w:val="32"/>
          <w:szCs w:val="32"/>
          <w:highlight w:val="none"/>
          <w14:textFill>
            <w14:solidFill>
              <w14:schemeClr w14:val="tx1"/>
            </w14:solidFill>
          </w14:textFill>
        </w:rPr>
        <w:t>次会议审查批准的财政预算，紧扣县域经济发展各项目标任务，积极应对经济下行的严峻形势，攻坚克难，迎难而上，有力落实国家减税降费及留抵退税等政策，不断加强财源建设，强化财政收入管理，持续优化财政支出结构，稳步提升财政预算绩效管理改革成果，扎实推进国企改革，坚决兜牢“三保”和债务风险防范底线，为县域经济高质量发展提供坚强财力保障。</w:t>
      </w:r>
    </w:p>
    <w:p w14:paraId="54CEB54E">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楷体_GB2312" w:eastAsia="楷体_GB2312" w:cs="仿宋_GB2312"/>
          <w:b/>
          <w:color w:val="000000" w:themeColor="text1"/>
          <w:sz w:val="32"/>
          <w:szCs w:val="32"/>
          <w:highlight w:val="none"/>
          <w:lang w:val="en-US" w:eastAsia="zh-CN"/>
          <w14:textFill>
            <w14:solidFill>
              <w14:schemeClr w14:val="tx1"/>
            </w14:solidFill>
          </w14:textFill>
        </w:rPr>
      </w:pPr>
      <w:r>
        <w:rPr>
          <w:rFonts w:hint="eastAsia" w:ascii="楷体_GB2312" w:eastAsia="楷体_GB2312" w:cs="仿宋_GB2312"/>
          <w:b/>
          <w:color w:val="000000" w:themeColor="text1"/>
          <w:sz w:val="32"/>
          <w:szCs w:val="32"/>
          <w:highlight w:val="none"/>
          <w14:textFill>
            <w14:solidFill>
              <w14:schemeClr w14:val="tx1"/>
            </w14:solidFill>
          </w14:textFill>
        </w:rPr>
        <w:t>（一）</w:t>
      </w:r>
      <w:r>
        <w:rPr>
          <w:rFonts w:hint="eastAsia" w:ascii="楷体_GB2312" w:eastAsia="楷体_GB2312" w:cs="仿宋_GB2312"/>
          <w:b/>
          <w:color w:val="000000" w:themeColor="text1"/>
          <w:sz w:val="32"/>
          <w:szCs w:val="32"/>
          <w:highlight w:val="none"/>
          <w:lang w:val="en-US" w:eastAsia="zh-CN"/>
          <w14:textFill>
            <w14:solidFill>
              <w14:schemeClr w14:val="tx1"/>
            </w14:solidFill>
          </w14:textFill>
        </w:rPr>
        <w:t>2024年财政预算执行情况</w:t>
      </w:r>
    </w:p>
    <w:p w14:paraId="3BE591DE">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s="仿宋_GB2312"/>
          <w:b/>
          <w:bCs/>
          <w:color w:val="000000" w:themeColor="text1"/>
          <w:sz w:val="32"/>
          <w:szCs w:val="32"/>
          <w:highlight w:val="none"/>
          <w:lang w:eastAsia="zh-CN"/>
          <w14:textFill>
            <w14:solidFill>
              <w14:schemeClr w14:val="tx1"/>
            </w14:solidFill>
          </w14:textFill>
        </w:rPr>
        <w:t>一般公共预算执行情况</w:t>
      </w:r>
      <w:r>
        <w:rPr>
          <w:rFonts w:hint="eastAsia" w:ascii="仿宋_GB2312" w:eastAsia="仿宋_GB2312" w:cs="仿宋_GB2312"/>
          <w:b/>
          <w:bCs/>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highlight w:val="none"/>
          <w:lang w:eastAsia="zh-CN"/>
          <w14:textFill>
            <w14:solidFill>
              <w14:schemeClr w14:val="tx1"/>
            </w14:solidFill>
          </w14:textFill>
        </w:rPr>
        <w:t>截止</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12月底，全县一般公共预算收入完成34011万元，同比增长6.73%，其中：税收收入完成17222万元，同比增长23.08%，非税收入完成16789万元，同比下降6.07%。</w:t>
      </w:r>
      <w:r>
        <w:rPr>
          <w:rFonts w:hint="eastAsia" w:ascii="仿宋_GB2312" w:eastAsia="仿宋_GB2312" w:cs="仿宋_GB2312"/>
          <w:color w:val="000000" w:themeColor="text1"/>
          <w:sz w:val="32"/>
          <w:szCs w:val="32"/>
          <w14:textFill>
            <w14:solidFill>
              <w14:schemeClr w14:val="tx1"/>
            </w14:solidFill>
          </w14:textFill>
        </w:rPr>
        <w:t>按照决算口径</w:t>
      </w:r>
      <w:r>
        <w:rPr>
          <w:rFonts w:ascii="仿宋_GB2312" w:eastAsia="仿宋_GB2312" w:cs="仿宋_GB2312"/>
          <w:color w:val="000000" w:themeColor="text1"/>
          <w:sz w:val="32"/>
          <w:szCs w:val="32"/>
          <w14:textFill>
            <w14:solidFill>
              <w14:schemeClr w14:val="tx1"/>
            </w14:solidFill>
          </w14:textFill>
        </w:rPr>
        <w:t>，一般公共预算收入</w:t>
      </w:r>
      <w:r>
        <w:rPr>
          <w:rFonts w:hint="eastAsia" w:ascii="仿宋_GB2312" w:eastAsia="仿宋_GB2312" w:cs="仿宋_GB2312"/>
          <w:color w:val="000000" w:themeColor="text1"/>
          <w:sz w:val="32"/>
          <w:szCs w:val="32"/>
          <w:lang w:val="en-US" w:eastAsia="zh-CN"/>
          <w14:textFill>
            <w14:solidFill>
              <w14:schemeClr w14:val="tx1"/>
            </w14:solidFill>
          </w14:textFill>
        </w:rPr>
        <w:t>34011</w:t>
      </w:r>
      <w:r>
        <w:rPr>
          <w:rFonts w:hint="eastAsia" w:ascii="仿宋_GB2312" w:eastAsia="仿宋_GB2312" w:cs="仿宋_GB2312"/>
          <w:color w:val="000000" w:themeColor="text1"/>
          <w:sz w:val="32"/>
          <w:szCs w:val="32"/>
          <w14:textFill>
            <w14:solidFill>
              <w14:schemeClr w14:val="tx1"/>
            </w14:solidFill>
          </w14:textFill>
        </w:rPr>
        <w:t>万元加上级补助收入</w:t>
      </w:r>
      <w:r>
        <w:rPr>
          <w:rFonts w:hint="eastAsia" w:ascii="仿宋_GB2312" w:eastAsia="仿宋_GB2312" w:cs="仿宋_GB2312"/>
          <w:color w:val="000000" w:themeColor="text1"/>
          <w:sz w:val="32"/>
          <w:szCs w:val="32"/>
          <w:lang w:val="en-US" w:eastAsia="zh-CN"/>
          <w14:textFill>
            <w14:solidFill>
              <w14:schemeClr w14:val="tx1"/>
            </w14:solidFill>
          </w14:textFill>
        </w:rPr>
        <w:t>159984万元</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上年结转收入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27771万元</w:t>
      </w:r>
      <w:r>
        <w:rPr>
          <w:rFonts w:hint="eastAsia"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地方政府一般债务</w:t>
      </w:r>
      <w:r>
        <w:rPr>
          <w:rFonts w:ascii="仿宋_GB2312" w:eastAsia="仿宋_GB2312" w:cs="仿宋_GB2312"/>
          <w:color w:val="000000" w:themeColor="text1"/>
          <w:sz w:val="32"/>
          <w:szCs w:val="32"/>
          <w14:textFill>
            <w14:solidFill>
              <w14:schemeClr w14:val="tx1"/>
            </w14:solidFill>
          </w14:textFill>
        </w:rPr>
        <w:t>转贷</w:t>
      </w:r>
      <w:r>
        <w:rPr>
          <w:rFonts w:hint="eastAsia" w:ascii="仿宋_GB2312" w:eastAsia="仿宋_GB2312" w:cs="仿宋_GB2312"/>
          <w:color w:val="000000" w:themeColor="text1"/>
          <w:sz w:val="32"/>
          <w:szCs w:val="32"/>
          <w14:textFill>
            <w14:solidFill>
              <w14:schemeClr w14:val="tx1"/>
            </w14:solidFill>
          </w14:textFill>
        </w:rPr>
        <w:t>收入</w:t>
      </w:r>
      <w:r>
        <w:rPr>
          <w:rFonts w:hint="eastAsia" w:ascii="仿宋_GB2312" w:eastAsia="仿宋_GB2312" w:cs="仿宋_GB2312"/>
          <w:color w:val="000000" w:themeColor="text1"/>
          <w:sz w:val="32"/>
          <w:szCs w:val="32"/>
          <w:lang w:val="en-US" w:eastAsia="zh-CN"/>
          <w14:textFill>
            <w14:solidFill>
              <w14:schemeClr w14:val="tx1"/>
            </w14:solidFill>
          </w14:textFill>
        </w:rPr>
        <w:t>12227万元</w:t>
      </w:r>
      <w:r>
        <w:rPr>
          <w:rFonts w:hint="eastAsia" w:ascii="仿宋_GB2312" w:eastAsia="仿宋_GB2312" w:cs="仿宋_GB2312"/>
          <w:color w:val="000000" w:themeColor="text1"/>
          <w:sz w:val="32"/>
          <w:szCs w:val="32"/>
          <w14:textFill>
            <w14:solidFill>
              <w14:schemeClr w14:val="tx1"/>
            </w14:solidFill>
          </w14:textFill>
        </w:rPr>
        <w:t>、动用预算稳定调节基金</w:t>
      </w:r>
      <w:r>
        <w:rPr>
          <w:rFonts w:hint="eastAsia" w:ascii="仿宋_GB2312" w:eastAsia="仿宋_GB2312" w:cs="仿宋_GB2312"/>
          <w:color w:val="000000" w:themeColor="text1"/>
          <w:sz w:val="32"/>
          <w:szCs w:val="32"/>
          <w:lang w:val="en-US" w:eastAsia="zh-CN"/>
          <w14:textFill>
            <w14:solidFill>
              <w14:schemeClr w14:val="tx1"/>
            </w14:solidFill>
          </w14:textFill>
        </w:rPr>
        <w:t>7437万元</w:t>
      </w:r>
      <w:r>
        <w:rPr>
          <w:rFonts w:hint="eastAsia" w:ascii="仿宋_GB2312" w:eastAsia="仿宋_GB2312" w:cs="仿宋_GB2312"/>
          <w:color w:val="000000" w:themeColor="text1"/>
          <w:sz w:val="32"/>
          <w:szCs w:val="32"/>
          <w14:textFill>
            <w14:solidFill>
              <w14:schemeClr w14:val="tx1"/>
            </w14:solidFill>
          </w14:textFill>
        </w:rPr>
        <w:t>，收入总量为</w:t>
      </w:r>
      <w:r>
        <w:rPr>
          <w:rFonts w:hint="eastAsia" w:ascii="仿宋_GB2312" w:eastAsia="仿宋_GB2312" w:cs="仿宋_GB2312"/>
          <w:color w:val="000000" w:themeColor="text1"/>
          <w:sz w:val="32"/>
          <w:szCs w:val="32"/>
          <w:lang w:val="en-US" w:eastAsia="zh-CN"/>
          <w14:textFill>
            <w14:solidFill>
              <w14:schemeClr w14:val="tx1"/>
            </w14:solidFill>
          </w14:textFill>
        </w:rPr>
        <w:t>241430</w:t>
      </w:r>
      <w:r>
        <w:rPr>
          <w:rFonts w:ascii="仿宋_GB2312" w:eastAsia="仿宋_GB2312" w:cs="仿宋_GB2312"/>
          <w:color w:val="000000" w:themeColor="text1"/>
          <w:sz w:val="32"/>
          <w:szCs w:val="32"/>
          <w14:textFill>
            <w14:solidFill>
              <w14:schemeClr w14:val="tx1"/>
            </w14:solidFill>
          </w14:textFill>
        </w:rPr>
        <w:t>万</w:t>
      </w:r>
      <w:r>
        <w:rPr>
          <w:rFonts w:hint="eastAsia" w:ascii="仿宋_GB2312" w:eastAsia="仿宋_GB2312" w:cs="仿宋_GB2312"/>
          <w:color w:val="000000" w:themeColor="text1"/>
          <w:sz w:val="32"/>
          <w:szCs w:val="32"/>
          <w14:textFill>
            <w14:solidFill>
              <w14:schemeClr w14:val="tx1"/>
            </w14:solidFill>
          </w14:textFill>
        </w:rPr>
        <w:t>元。</w:t>
      </w:r>
      <w:r>
        <w:rPr>
          <w:rFonts w:hint="eastAsia" w:ascii="仿宋_GB2312" w:eastAsia="仿宋_GB2312" w:cs="仿宋_GB2312"/>
          <w:color w:val="000000" w:themeColor="text1"/>
          <w:sz w:val="32"/>
          <w:szCs w:val="32"/>
          <w:lang w:eastAsia="zh-CN"/>
          <w14:textFill>
            <w14:solidFill>
              <w14:schemeClr w14:val="tx1"/>
            </w14:solidFill>
          </w14:textFill>
        </w:rPr>
        <w:t>一般公共预算支出</w:t>
      </w:r>
      <w:r>
        <w:rPr>
          <w:rFonts w:hint="eastAsia" w:ascii="仿宋_GB2312" w:eastAsia="仿宋_GB2312" w:cs="仿宋_GB2312"/>
          <w:color w:val="000000" w:themeColor="text1"/>
          <w:sz w:val="32"/>
          <w:szCs w:val="32"/>
          <w:lang w:val="en-US" w:eastAsia="zh-CN"/>
          <w14:textFill>
            <w14:solidFill>
              <w14:schemeClr w14:val="tx1"/>
            </w14:solidFill>
          </w14:textFill>
        </w:rPr>
        <w:t>191471万元，同比增长2.73%，加上解上级支出7947万元，调出资金1325万元，</w:t>
      </w:r>
      <w:r>
        <w:rPr>
          <w:rFonts w:hint="eastAsia" w:ascii="仿宋_GB2312" w:eastAsia="仿宋_GB2312" w:cs="仿宋_GB2312"/>
          <w:color w:val="000000" w:themeColor="text1"/>
          <w:sz w:val="32"/>
          <w:szCs w:val="32"/>
          <w14:textFill>
            <w14:solidFill>
              <w14:schemeClr w14:val="tx1"/>
            </w14:solidFill>
          </w14:textFill>
        </w:rPr>
        <w:t>地方政府一般债务还本支出</w:t>
      </w:r>
      <w:r>
        <w:rPr>
          <w:rFonts w:hint="eastAsia" w:ascii="仿宋_GB2312" w:eastAsia="仿宋_GB2312" w:cs="仿宋_GB2312"/>
          <w:color w:val="000000" w:themeColor="text1"/>
          <w:sz w:val="32"/>
          <w:szCs w:val="32"/>
          <w:lang w:val="en-US" w:eastAsia="zh-CN"/>
          <w14:textFill>
            <w14:solidFill>
              <w14:schemeClr w14:val="tx1"/>
            </w14:solidFill>
          </w14:textFill>
        </w:rPr>
        <w:t>6000万元</w:t>
      </w:r>
      <w:r>
        <w:rPr>
          <w:rFonts w:hint="eastAsia" w:ascii="仿宋_GB2312" w:eastAsia="仿宋_GB2312" w:cs="仿宋_GB2312"/>
          <w:color w:val="000000" w:themeColor="text1"/>
          <w:sz w:val="32"/>
          <w:szCs w:val="32"/>
          <w:lang w:eastAsia="zh-CN"/>
          <w14:textFill>
            <w14:solidFill>
              <w14:schemeClr w14:val="tx1"/>
            </w14:solidFill>
          </w14:textFill>
        </w:rPr>
        <w:t>，安排预算稳定调节基金</w:t>
      </w:r>
      <w:r>
        <w:rPr>
          <w:rFonts w:hint="eastAsia" w:ascii="仿宋_GB2312" w:eastAsia="仿宋_GB2312" w:cs="仿宋_GB2312"/>
          <w:color w:val="000000" w:themeColor="text1"/>
          <w:sz w:val="32"/>
          <w:szCs w:val="32"/>
          <w:lang w:val="en-US" w:eastAsia="zh-CN"/>
          <w14:textFill>
            <w14:solidFill>
              <w14:schemeClr w14:val="tx1"/>
            </w14:solidFill>
          </w14:textFill>
        </w:rPr>
        <w:t>74万元，</w:t>
      </w:r>
      <w:r>
        <w:rPr>
          <w:rFonts w:hint="eastAsia" w:ascii="仿宋_GB2312" w:eastAsia="仿宋_GB2312" w:cs="仿宋_GB2312"/>
          <w:color w:val="000000" w:themeColor="text1"/>
          <w:sz w:val="32"/>
          <w:szCs w:val="32"/>
          <w14:textFill>
            <w14:solidFill>
              <w14:schemeClr w14:val="tx1"/>
            </w14:solidFill>
          </w14:textFill>
        </w:rPr>
        <w:t>结转下年支出</w:t>
      </w:r>
      <w:r>
        <w:rPr>
          <w:rFonts w:hint="eastAsia" w:ascii="仿宋_GB2312" w:eastAsia="仿宋_GB2312" w:cs="仿宋_GB2312"/>
          <w:color w:val="000000" w:themeColor="text1"/>
          <w:sz w:val="32"/>
          <w:szCs w:val="32"/>
          <w:lang w:val="en-US" w:eastAsia="zh-CN"/>
          <w14:textFill>
            <w14:solidFill>
              <w14:schemeClr w14:val="tx1"/>
            </w14:solidFill>
          </w14:textFill>
        </w:rPr>
        <w:t>34613万元，支出总量为241430万元，收支相抵，全年实现平衡。</w:t>
      </w:r>
    </w:p>
    <w:p w14:paraId="6426C946">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Calibri" w:eastAsia="仿宋_GB2312" w:cs="仿宋_GB2312"/>
          <w:b/>
          <w:bCs/>
          <w:color w:val="000000" w:themeColor="text1"/>
          <w:kern w:val="2"/>
          <w:sz w:val="32"/>
          <w:szCs w:val="32"/>
          <w:highlight w:val="none"/>
          <w:lang w:val="en-US" w:eastAsia="zh-CN" w:bidi="ar-SA"/>
          <w14:textFill>
            <w14:solidFill>
              <w14:schemeClr w14:val="tx1"/>
            </w14:solidFill>
          </w14:textFill>
        </w:rPr>
        <w:t>政府性基金预算执行情况。</w:t>
      </w:r>
      <w:r>
        <w:rPr>
          <w:rFonts w:hint="eastAsia" w:ascii="仿宋_GB2312" w:eastAsia="仿宋_GB2312" w:cs="仿宋_GB2312"/>
          <w:color w:val="000000" w:themeColor="text1"/>
          <w:sz w:val="32"/>
          <w:szCs w:val="32"/>
          <w:highlight w:val="none"/>
          <w:lang w:eastAsia="zh-CN"/>
          <w14:textFill>
            <w14:solidFill>
              <w14:schemeClr w14:val="tx1"/>
            </w14:solidFill>
          </w14:textFill>
        </w:rPr>
        <w:t>截止</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12月底，全县政府性基金收入完成1830万元，同比下降18.16%，</w:t>
      </w:r>
      <w:r>
        <w:rPr>
          <w:rFonts w:hint="eastAsia" w:ascii="仿宋_GB2312" w:eastAsia="仿宋_GB2312"/>
          <w:color w:val="000000" w:themeColor="text1"/>
          <w:sz w:val="32"/>
          <w:szCs w:val="32"/>
          <w14:textFill>
            <w14:solidFill>
              <w14:schemeClr w14:val="tx1"/>
            </w14:solidFill>
          </w14:textFill>
        </w:rPr>
        <w:t>加上级补助收入</w:t>
      </w:r>
      <w:r>
        <w:rPr>
          <w:rFonts w:hint="eastAsia" w:ascii="仿宋_GB2312" w:eastAsia="仿宋_GB2312"/>
          <w:color w:val="000000" w:themeColor="text1"/>
          <w:sz w:val="32"/>
          <w:szCs w:val="32"/>
          <w:lang w:val="en-US" w:eastAsia="zh-CN"/>
          <w14:textFill>
            <w14:solidFill>
              <w14:schemeClr w14:val="tx1"/>
            </w14:solidFill>
          </w14:textFill>
        </w:rPr>
        <w:t>514万元</w:t>
      </w:r>
      <w:r>
        <w:rPr>
          <w:rFonts w:hint="eastAsia" w:ascii="仿宋_GB2312" w:eastAsia="仿宋_GB2312"/>
          <w:color w:val="000000" w:themeColor="text1"/>
          <w:sz w:val="32"/>
          <w:szCs w:val="32"/>
          <w14:textFill>
            <w14:solidFill>
              <w14:schemeClr w14:val="tx1"/>
            </w14:solidFill>
          </w14:textFill>
        </w:rPr>
        <w:t>、上年</w:t>
      </w:r>
      <w:r>
        <w:rPr>
          <w:rFonts w:ascii="仿宋_GB2312" w:eastAsia="仿宋_GB2312"/>
          <w:color w:val="000000" w:themeColor="text1"/>
          <w:sz w:val="32"/>
          <w:szCs w:val="32"/>
          <w14:textFill>
            <w14:solidFill>
              <w14:schemeClr w14:val="tx1"/>
            </w14:solidFill>
          </w14:textFill>
        </w:rPr>
        <w:t>结余</w:t>
      </w:r>
      <w:r>
        <w:rPr>
          <w:rFonts w:hint="eastAsia" w:ascii="仿宋_GB2312" w:eastAsia="仿宋_GB2312"/>
          <w:color w:val="000000" w:themeColor="text1"/>
          <w:sz w:val="32"/>
          <w:szCs w:val="32"/>
          <w14:textFill>
            <w14:solidFill>
              <w14:schemeClr w14:val="tx1"/>
            </w14:solidFill>
          </w14:textFill>
        </w:rPr>
        <w:t>收入</w:t>
      </w:r>
      <w:r>
        <w:rPr>
          <w:rFonts w:hint="eastAsia" w:ascii="仿宋_GB2312" w:eastAsia="仿宋_GB2312"/>
          <w:color w:val="000000" w:themeColor="text1"/>
          <w:sz w:val="32"/>
          <w:szCs w:val="32"/>
          <w:lang w:val="en-US" w:eastAsia="zh-CN"/>
          <w14:textFill>
            <w14:solidFill>
              <w14:schemeClr w14:val="tx1"/>
            </w14:solidFill>
          </w14:textFill>
        </w:rPr>
        <w:t>276万元</w:t>
      </w:r>
      <w:r>
        <w:rPr>
          <w:rFonts w:hint="eastAsia" w:ascii="仿宋_GB2312" w:eastAsia="仿宋_GB2312"/>
          <w:color w:val="000000" w:themeColor="text1"/>
          <w:sz w:val="32"/>
          <w:szCs w:val="32"/>
          <w14:textFill>
            <w14:solidFill>
              <w14:schemeClr w14:val="tx1"/>
            </w14:solidFill>
          </w14:textFill>
        </w:rPr>
        <w:t>、调入资金</w:t>
      </w:r>
      <w:r>
        <w:rPr>
          <w:rFonts w:hint="eastAsia" w:ascii="仿宋_GB2312" w:eastAsia="仿宋_GB2312"/>
          <w:color w:val="000000" w:themeColor="text1"/>
          <w:sz w:val="32"/>
          <w:szCs w:val="32"/>
          <w:lang w:val="en-US" w:eastAsia="zh-CN"/>
          <w14:textFill>
            <w14:solidFill>
              <w14:schemeClr w14:val="tx1"/>
            </w14:solidFill>
          </w14:textFill>
        </w:rPr>
        <w:t>1325</w:t>
      </w:r>
      <w:r>
        <w:rPr>
          <w:rFonts w:hint="eastAsia" w:ascii="仿宋_GB2312" w:eastAsia="仿宋_GB2312"/>
          <w:color w:val="000000" w:themeColor="text1"/>
          <w:sz w:val="32"/>
          <w:szCs w:val="32"/>
          <w14:textFill>
            <w14:solidFill>
              <w14:schemeClr w14:val="tx1"/>
            </w14:solidFill>
          </w14:textFill>
        </w:rPr>
        <w:t>万元、地方政府专项债务</w:t>
      </w:r>
      <w:r>
        <w:rPr>
          <w:rFonts w:ascii="仿宋_GB2312" w:eastAsia="仿宋_GB2312"/>
          <w:color w:val="000000" w:themeColor="text1"/>
          <w:sz w:val="32"/>
          <w:szCs w:val="32"/>
          <w14:textFill>
            <w14:solidFill>
              <w14:schemeClr w14:val="tx1"/>
            </w14:solidFill>
          </w14:textFill>
        </w:rPr>
        <w:t>转贷</w:t>
      </w:r>
      <w:r>
        <w:rPr>
          <w:rFonts w:hint="eastAsia" w:ascii="仿宋_GB2312" w:eastAsia="仿宋_GB2312"/>
          <w:color w:val="000000" w:themeColor="text1"/>
          <w:sz w:val="32"/>
          <w:szCs w:val="32"/>
          <w14:textFill>
            <w14:solidFill>
              <w14:schemeClr w14:val="tx1"/>
            </w14:solidFill>
          </w14:textFill>
        </w:rPr>
        <w:t>收入</w:t>
      </w:r>
      <w:r>
        <w:rPr>
          <w:rFonts w:hint="eastAsia" w:ascii="仿宋_GB2312" w:eastAsia="仿宋_GB2312"/>
          <w:color w:val="000000" w:themeColor="text1"/>
          <w:sz w:val="32"/>
          <w:szCs w:val="32"/>
          <w:lang w:val="en-US" w:eastAsia="zh-CN"/>
          <w14:textFill>
            <w14:solidFill>
              <w14:schemeClr w14:val="tx1"/>
            </w14:solidFill>
          </w14:textFill>
        </w:rPr>
        <w:t>2200</w:t>
      </w:r>
      <w:r>
        <w:rPr>
          <w:rFonts w:ascii="仿宋_GB2312" w:eastAsia="仿宋_GB2312"/>
          <w:color w:val="000000" w:themeColor="text1"/>
          <w:sz w:val="32"/>
          <w:szCs w:val="32"/>
          <w14:textFill>
            <w14:solidFill>
              <w14:schemeClr w14:val="tx1"/>
            </w14:solidFill>
          </w14:textFill>
        </w:rPr>
        <w:t>万</w:t>
      </w:r>
      <w:r>
        <w:rPr>
          <w:rFonts w:hint="eastAsia" w:ascii="仿宋_GB2312" w:eastAsia="仿宋_GB2312"/>
          <w:color w:val="000000" w:themeColor="text1"/>
          <w:sz w:val="32"/>
          <w:szCs w:val="32"/>
          <w14:textFill>
            <w14:solidFill>
              <w14:schemeClr w14:val="tx1"/>
            </w14:solidFill>
          </w14:textFill>
        </w:rPr>
        <w:t>元，</w:t>
      </w:r>
      <w:r>
        <w:rPr>
          <w:rFonts w:hint="eastAsia" w:ascii="仿宋_GB2312" w:eastAsia="仿宋_GB2312"/>
          <w:color w:val="000000" w:themeColor="text1"/>
          <w:sz w:val="32"/>
          <w:szCs w:val="32"/>
          <w:lang w:eastAsia="zh-CN"/>
          <w14:textFill>
            <w14:solidFill>
              <w14:schemeClr w14:val="tx1"/>
            </w14:solidFill>
          </w14:textFill>
        </w:rPr>
        <w:t>超长期特别国债收入</w:t>
      </w:r>
      <w:r>
        <w:rPr>
          <w:rFonts w:hint="eastAsia" w:ascii="仿宋_GB2312" w:eastAsia="仿宋_GB2312"/>
          <w:color w:val="000000" w:themeColor="text1"/>
          <w:sz w:val="32"/>
          <w:szCs w:val="32"/>
          <w:lang w:val="en-US" w:eastAsia="zh-CN"/>
          <w14:textFill>
            <w14:solidFill>
              <w14:schemeClr w14:val="tx1"/>
            </w14:solidFill>
          </w14:textFill>
        </w:rPr>
        <w:t>2476万元，</w:t>
      </w:r>
      <w:r>
        <w:rPr>
          <w:rFonts w:hint="eastAsia" w:ascii="仿宋_GB2312" w:eastAsia="仿宋_GB2312"/>
          <w:color w:val="000000" w:themeColor="text1"/>
          <w:sz w:val="32"/>
          <w:szCs w:val="32"/>
          <w14:textFill>
            <w14:solidFill>
              <w14:schemeClr w14:val="tx1"/>
            </w14:solidFill>
          </w14:textFill>
        </w:rPr>
        <w:t>收入总量为</w:t>
      </w:r>
      <w:r>
        <w:rPr>
          <w:rFonts w:hint="eastAsia" w:ascii="仿宋_GB2312" w:eastAsia="仿宋_GB2312"/>
          <w:color w:val="000000" w:themeColor="text1"/>
          <w:sz w:val="32"/>
          <w:szCs w:val="32"/>
          <w:lang w:val="en-US" w:eastAsia="zh-CN"/>
          <w14:textFill>
            <w14:solidFill>
              <w14:schemeClr w14:val="tx1"/>
            </w14:solidFill>
          </w14:textFill>
        </w:rPr>
        <w:t>8621</w:t>
      </w:r>
      <w:r>
        <w:rPr>
          <w:rFonts w:ascii="仿宋_GB2312" w:eastAsia="仿宋_GB2312"/>
          <w:color w:val="000000" w:themeColor="text1"/>
          <w:sz w:val="32"/>
          <w:szCs w:val="32"/>
          <w14:textFill>
            <w14:solidFill>
              <w14:schemeClr w14:val="tx1"/>
            </w14:solidFill>
          </w14:textFill>
        </w:rPr>
        <w:t>万</w:t>
      </w:r>
      <w:r>
        <w:rPr>
          <w:rFonts w:hint="eastAsia" w:ascii="仿宋_GB2312" w:eastAsia="仿宋_GB2312"/>
          <w:color w:val="000000" w:themeColor="text1"/>
          <w:sz w:val="32"/>
          <w:szCs w:val="32"/>
          <w14:textFill>
            <w14:solidFill>
              <w14:schemeClr w14:val="tx1"/>
            </w14:solidFill>
          </w14:textFill>
        </w:rPr>
        <w:t>元。</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政府性基金支出完成8330万元，同比下降67.12%，加结转下年支出291万元，支出总量为8621万元，收支相抵，全年实现平衡。</w:t>
      </w:r>
    </w:p>
    <w:p w14:paraId="5A62A688">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eastAsia" w:asci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社会保险基金预算执行情况。</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截止12月底，全县社会保险基金收入完成14337万元，同比增长23.9%；社会保险基金支出完成14709万元，同比增长12.9%。</w:t>
      </w:r>
      <w:r>
        <w:rPr>
          <w:rFonts w:hint="eastAsia" w:ascii="仿宋_GB2312" w:eastAsia="仿宋_GB2312" w:cs="Times New Roman"/>
          <w:color w:val="000000" w:themeColor="text1"/>
          <w:sz w:val="32"/>
          <w:szCs w:val="32"/>
          <w14:textFill>
            <w14:solidFill>
              <w14:schemeClr w14:val="tx1"/>
            </w14:solidFill>
          </w14:textFill>
        </w:rPr>
        <w:t>社保基金预算收支相抵后，本年度结余</w:t>
      </w:r>
      <w:r>
        <w:rPr>
          <w:rFonts w:hint="eastAsia" w:ascii="仿宋_GB2312" w:eastAsia="仿宋_GB2312" w:cs="Times New Roman"/>
          <w:color w:val="000000" w:themeColor="text1"/>
          <w:sz w:val="32"/>
          <w:szCs w:val="32"/>
          <w:lang w:val="en-US" w:eastAsia="zh-CN"/>
          <w14:textFill>
            <w14:solidFill>
              <w14:schemeClr w14:val="tx1"/>
            </w14:solidFill>
          </w14:textFill>
        </w:rPr>
        <w:t>-372</w:t>
      </w:r>
      <w:r>
        <w:rPr>
          <w:rFonts w:hint="eastAsia" w:ascii="仿宋_GB2312" w:eastAsia="仿宋_GB2312" w:cs="Times New Roman"/>
          <w:color w:val="000000" w:themeColor="text1"/>
          <w:sz w:val="32"/>
          <w:szCs w:val="32"/>
          <w14:textFill>
            <w14:solidFill>
              <w14:schemeClr w14:val="tx1"/>
            </w14:solidFill>
          </w14:textFill>
        </w:rPr>
        <w:t>万元，加202</w:t>
      </w:r>
      <w:r>
        <w:rPr>
          <w:rFonts w:hint="eastAsia" w:ascii="仿宋_GB2312" w:eastAsia="仿宋_GB2312" w:cs="Times New Roman"/>
          <w:color w:val="000000" w:themeColor="text1"/>
          <w:sz w:val="32"/>
          <w:szCs w:val="32"/>
          <w:lang w:val="en-US" w:eastAsia="zh-CN"/>
          <w14:textFill>
            <w14:solidFill>
              <w14:schemeClr w14:val="tx1"/>
            </w14:solidFill>
          </w14:textFill>
        </w:rPr>
        <w:t>3</w:t>
      </w:r>
      <w:r>
        <w:rPr>
          <w:rFonts w:hint="eastAsia" w:ascii="仿宋_GB2312" w:eastAsia="仿宋_GB2312" w:cs="Times New Roman"/>
          <w:color w:val="000000" w:themeColor="text1"/>
          <w:sz w:val="32"/>
          <w:szCs w:val="32"/>
          <w14:textFill>
            <w14:solidFill>
              <w14:schemeClr w14:val="tx1"/>
            </w14:solidFill>
          </w14:textFill>
        </w:rPr>
        <w:t>年年末滚存结余</w:t>
      </w:r>
      <w:r>
        <w:rPr>
          <w:rFonts w:hint="eastAsia" w:ascii="仿宋_GB2312" w:eastAsia="仿宋_GB2312" w:cs="Times New Roman"/>
          <w:color w:val="000000" w:themeColor="text1"/>
          <w:sz w:val="32"/>
          <w:szCs w:val="32"/>
          <w:lang w:val="en-US" w:eastAsia="zh-CN"/>
          <w14:textFill>
            <w14:solidFill>
              <w14:schemeClr w14:val="tx1"/>
            </w14:solidFill>
          </w14:textFill>
        </w:rPr>
        <w:t>3423</w:t>
      </w:r>
      <w:r>
        <w:rPr>
          <w:rFonts w:hint="eastAsia" w:ascii="仿宋_GB2312" w:eastAsia="仿宋_GB2312" w:cs="Times New Roman"/>
          <w:color w:val="000000" w:themeColor="text1"/>
          <w:sz w:val="32"/>
          <w:szCs w:val="32"/>
          <w14:textFill>
            <w14:solidFill>
              <w14:schemeClr w14:val="tx1"/>
            </w14:solidFill>
          </w14:textFill>
        </w:rPr>
        <w:t>万元，202</w:t>
      </w:r>
      <w:r>
        <w:rPr>
          <w:rFonts w:hint="eastAsia" w:ascii="仿宋_GB2312" w:eastAsia="仿宋_GB2312" w:cs="Times New Roman"/>
          <w:color w:val="000000" w:themeColor="text1"/>
          <w:sz w:val="32"/>
          <w:szCs w:val="32"/>
          <w:lang w:val="en-US" w:eastAsia="zh-CN"/>
          <w14:textFill>
            <w14:solidFill>
              <w14:schemeClr w14:val="tx1"/>
            </w14:solidFill>
          </w14:textFill>
        </w:rPr>
        <w:t>4</w:t>
      </w:r>
      <w:r>
        <w:rPr>
          <w:rFonts w:hint="eastAsia" w:ascii="仿宋_GB2312" w:eastAsia="仿宋_GB2312" w:cs="Times New Roman"/>
          <w:color w:val="000000" w:themeColor="text1"/>
          <w:sz w:val="32"/>
          <w:szCs w:val="32"/>
          <w14:textFill>
            <w14:solidFill>
              <w14:schemeClr w14:val="tx1"/>
            </w14:solidFill>
          </w14:textFill>
        </w:rPr>
        <w:t>年年末滚存结余</w:t>
      </w:r>
      <w:r>
        <w:rPr>
          <w:rFonts w:hint="eastAsia" w:ascii="仿宋_GB2312" w:eastAsia="仿宋_GB2312" w:cs="Times New Roman"/>
          <w:color w:val="000000" w:themeColor="text1"/>
          <w:sz w:val="32"/>
          <w:szCs w:val="32"/>
          <w:lang w:val="en-US" w:eastAsia="zh-CN"/>
          <w14:textFill>
            <w14:solidFill>
              <w14:schemeClr w14:val="tx1"/>
            </w14:solidFill>
          </w14:textFill>
        </w:rPr>
        <w:t>3051</w:t>
      </w:r>
      <w:r>
        <w:rPr>
          <w:rFonts w:hint="eastAsia" w:ascii="仿宋_GB2312" w:eastAsia="仿宋_GB2312" w:cs="Times New Roman"/>
          <w:color w:val="000000" w:themeColor="text1"/>
          <w:sz w:val="32"/>
          <w:szCs w:val="32"/>
          <w14:textFill>
            <w14:solidFill>
              <w14:schemeClr w14:val="tx1"/>
            </w14:solidFill>
          </w14:textFill>
        </w:rPr>
        <w:t>万元。</w:t>
      </w:r>
    </w:p>
    <w:p w14:paraId="4711EE2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lang w:val="en-US" w:eastAsia="zh-CN"/>
        </w:rPr>
      </w:pPr>
      <w:r>
        <w:rPr>
          <w:rFonts w:hint="eastAsia" w:ascii="仿宋_GB2312" w:hAnsi="Times New Roman" w:eastAsia="仿宋_GB2312" w:cs="仿宋_GB2312"/>
          <w:b/>
          <w:bCs/>
          <w:color w:val="000000" w:themeColor="text1"/>
          <w:kern w:val="2"/>
          <w:sz w:val="32"/>
          <w:szCs w:val="32"/>
          <w:highlight w:val="none"/>
          <w:lang w:val="en-US" w:eastAsia="zh-CN" w:bidi="ar-SA"/>
          <w14:textFill>
            <w14:solidFill>
              <w14:schemeClr w14:val="tx1"/>
            </w14:solidFill>
          </w14:textFill>
        </w:rPr>
        <w:t>国有资本经营预算执行情况。</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截止12月底，全县国有资本经营预算收入完成15万元，加上年结转收入167万元、上级补助收入1万元，国有资本经营收入总量为183万元；国有资本经营预算支出完成168万元，结转下年支出15万元，支出总量183万元，收支相抵，全年实现平衡。</w:t>
      </w:r>
    </w:p>
    <w:p w14:paraId="14691EC1">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ascii="楷体_GB2312" w:eastAsia="楷体_GB2312" w:cs="楷体_GB2312"/>
          <w:b/>
          <w:bCs/>
          <w:color w:val="000000" w:themeColor="text1"/>
          <w:sz w:val="32"/>
          <w:szCs w:val="32"/>
          <w:highlight w:val="none"/>
          <w14:textFill>
            <w14:solidFill>
              <w14:schemeClr w14:val="tx1"/>
            </w14:solidFill>
          </w14:textFill>
        </w:rPr>
      </w:pPr>
      <w:r>
        <w:rPr>
          <w:rFonts w:hint="eastAsia" w:ascii="楷体_GB2312" w:eastAsia="楷体_GB2312" w:cs="楷体_GB2312"/>
          <w:b/>
          <w:bCs/>
          <w:color w:val="000000" w:themeColor="text1"/>
          <w:sz w:val="32"/>
          <w:szCs w:val="32"/>
          <w:highlight w:val="none"/>
          <w14:textFill>
            <w14:solidFill>
              <w14:schemeClr w14:val="tx1"/>
            </w14:solidFill>
          </w14:textFill>
        </w:rPr>
        <w:t>（</w:t>
      </w:r>
      <w:r>
        <w:rPr>
          <w:rFonts w:hint="eastAsia" w:ascii="楷体_GB2312" w:eastAsia="楷体_GB2312" w:cs="楷体_GB2312"/>
          <w:b/>
          <w:bCs/>
          <w:color w:val="000000" w:themeColor="text1"/>
          <w:sz w:val="32"/>
          <w:szCs w:val="32"/>
          <w:highlight w:val="none"/>
          <w:lang w:eastAsia="zh-CN"/>
          <w14:textFill>
            <w14:solidFill>
              <w14:schemeClr w14:val="tx1"/>
            </w14:solidFill>
          </w14:textFill>
        </w:rPr>
        <w:t>二</w:t>
      </w:r>
      <w:r>
        <w:rPr>
          <w:rFonts w:hint="eastAsia" w:ascii="楷体_GB2312" w:eastAsia="楷体_GB2312" w:cs="楷体_GB2312"/>
          <w:b/>
          <w:bCs/>
          <w:color w:val="000000" w:themeColor="text1"/>
          <w:sz w:val="32"/>
          <w:szCs w:val="32"/>
          <w:highlight w:val="none"/>
          <w14:textFill>
            <w14:solidFill>
              <w14:schemeClr w14:val="tx1"/>
            </w14:solidFill>
          </w14:textFill>
        </w:rPr>
        <w:t>）202</w:t>
      </w:r>
      <w:r>
        <w:rPr>
          <w:rFonts w:hint="eastAsia" w:ascii="楷体_GB2312" w:eastAsia="楷体_GB2312" w:cs="楷体_GB2312"/>
          <w:b/>
          <w:bCs/>
          <w:color w:val="000000" w:themeColor="text1"/>
          <w:sz w:val="32"/>
          <w:szCs w:val="32"/>
          <w:highlight w:val="none"/>
          <w:lang w:val="en-US" w:eastAsia="zh-CN"/>
          <w14:textFill>
            <w14:solidFill>
              <w14:schemeClr w14:val="tx1"/>
            </w14:solidFill>
          </w14:textFill>
        </w:rPr>
        <w:t>4</w:t>
      </w:r>
      <w:r>
        <w:rPr>
          <w:rFonts w:hint="eastAsia" w:ascii="楷体_GB2312" w:eastAsia="楷体_GB2312" w:cs="楷体_GB2312"/>
          <w:b/>
          <w:bCs/>
          <w:color w:val="000000" w:themeColor="text1"/>
          <w:sz w:val="32"/>
          <w:szCs w:val="32"/>
          <w:highlight w:val="none"/>
          <w14:textFill>
            <w14:solidFill>
              <w14:schemeClr w14:val="tx1"/>
            </w14:solidFill>
          </w14:textFill>
        </w:rPr>
        <w:t>年财政</w:t>
      </w:r>
      <w:r>
        <w:rPr>
          <w:rFonts w:hint="eastAsia" w:ascii="楷体_GB2312" w:eastAsia="楷体_GB2312" w:cs="楷体_GB2312"/>
          <w:b/>
          <w:bCs/>
          <w:color w:val="000000" w:themeColor="text1"/>
          <w:sz w:val="32"/>
          <w:szCs w:val="32"/>
          <w:highlight w:val="none"/>
          <w:lang w:eastAsia="zh-CN"/>
          <w14:textFill>
            <w14:solidFill>
              <w14:schemeClr w14:val="tx1"/>
            </w14:solidFill>
          </w14:textFill>
        </w:rPr>
        <w:t>重点</w:t>
      </w:r>
      <w:r>
        <w:rPr>
          <w:rFonts w:hint="eastAsia" w:ascii="楷体_GB2312" w:eastAsia="楷体_GB2312" w:cs="楷体_GB2312"/>
          <w:b/>
          <w:bCs/>
          <w:color w:val="000000" w:themeColor="text1"/>
          <w:sz w:val="32"/>
          <w:szCs w:val="32"/>
          <w:highlight w:val="none"/>
          <w14:textFill>
            <w14:solidFill>
              <w14:schemeClr w14:val="tx1"/>
            </w14:solidFill>
          </w14:textFill>
        </w:rPr>
        <w:t>工作完成情况</w:t>
      </w:r>
    </w:p>
    <w:p w14:paraId="2DF4DC43">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textAlignment w:val="auto"/>
        <w:rPr>
          <w:rFonts w:hint="eastAsia" w:ascii="仿宋_GB2312" w:eastAsia="仿宋_GB2312" w:cs="仿宋_GB2312"/>
          <w:color w:val="000000" w:themeColor="text1"/>
          <w:sz w:val="32"/>
          <w:szCs w:val="32"/>
          <w:highlight w:val="none"/>
          <w14:textFill>
            <w14:solidFill>
              <w14:schemeClr w14:val="tx1"/>
            </w14:solidFill>
          </w14:textFill>
        </w:rPr>
      </w:pPr>
      <w:r>
        <w:rPr>
          <w:rFonts w:hint="eastAsia" w:ascii="楷体_GB2312" w:eastAsia="楷体_GB2312" w:cs="仿宋_GB2312"/>
          <w:b/>
          <w:color w:val="000000" w:themeColor="text1"/>
          <w:sz w:val="32"/>
          <w:szCs w:val="32"/>
          <w:highlight w:val="none"/>
          <w:lang w:val="en-US" w:eastAsia="zh-CN"/>
          <w14:textFill>
            <w14:solidFill>
              <w14:schemeClr w14:val="tx1"/>
            </w14:solidFill>
          </w14:textFill>
        </w:rPr>
        <w:t>1.</w:t>
      </w:r>
      <w:r>
        <w:rPr>
          <w:rFonts w:hint="eastAsia" w:ascii="楷体_GB2312" w:eastAsia="楷体_GB2312" w:cs="仿宋_GB2312"/>
          <w:b/>
          <w:color w:val="000000" w:themeColor="text1"/>
          <w:sz w:val="32"/>
          <w:szCs w:val="32"/>
          <w:highlight w:val="none"/>
          <w14:textFill>
            <w14:solidFill>
              <w14:schemeClr w14:val="tx1"/>
            </w14:solidFill>
          </w14:textFill>
        </w:rPr>
        <w:t>坚决夯实“稳”的基础，保障能力不断增强。</w:t>
      </w:r>
      <w:r>
        <w:rPr>
          <w:rFonts w:hint="eastAsia" w:ascii="仿宋_GB2312" w:eastAsia="仿宋_GB2312" w:cs="仿宋_GB2312"/>
          <w:color w:val="000000" w:themeColor="text1"/>
          <w:sz w:val="32"/>
          <w:szCs w:val="32"/>
          <w:highlight w:val="none"/>
          <w14:textFill>
            <w14:solidFill>
              <w14:schemeClr w14:val="tx1"/>
            </w14:solidFill>
          </w14:textFill>
        </w:rPr>
        <w:t>紧盯年初县人大批准的收入目标任务，把组织财政收入工作作为重中之重，加强与税务、非税执收工作协同，深入分析研判财政运行形势，共同克服政策性减收不利因素，主动采取积极措施，疏通财政收入“进水口”，确保应收尽收、颗粒归仓。</w:t>
      </w:r>
      <w:r>
        <w:rPr>
          <w:rFonts w:hint="eastAsia" w:ascii="仿宋_GB2312" w:eastAsia="仿宋_GB2312" w:cs="仿宋_GB2312"/>
          <w:color w:val="000000" w:themeColor="text1"/>
          <w:sz w:val="32"/>
          <w:szCs w:val="32"/>
          <w:highlight w:val="none"/>
          <w:lang w:eastAsia="zh-CN"/>
          <w14:textFill>
            <w14:solidFill>
              <w14:schemeClr w14:val="tx1"/>
            </w14:solidFill>
          </w14:textFill>
        </w:rPr>
        <w:t>截至目前，</w:t>
      </w:r>
      <w:r>
        <w:rPr>
          <w:rFonts w:hint="eastAsia" w:ascii="仿宋_GB2312" w:eastAsia="仿宋_GB2312" w:cs="仿宋_GB2312"/>
          <w:color w:val="000000" w:themeColor="text1"/>
          <w:sz w:val="32"/>
          <w:szCs w:val="32"/>
          <w:highlight w:val="none"/>
          <w14:textFill>
            <w14:solidFill>
              <w14:schemeClr w14:val="tx1"/>
            </w14:solidFill>
          </w14:textFill>
        </w:rPr>
        <w:t>全县一般公共预算收入完成</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34011</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hint="eastAsia" w:ascii="仿宋_GB2312" w:eastAsia="仿宋_GB2312" w:cs="仿宋_GB2312"/>
          <w:color w:val="000000" w:themeColor="text1"/>
          <w:sz w:val="32"/>
          <w:szCs w:val="32"/>
          <w:highlight w:val="none"/>
          <w:lang w:eastAsia="zh-CN"/>
          <w14:textFill>
            <w14:solidFill>
              <w14:schemeClr w14:val="tx1"/>
            </w14:solidFill>
          </w14:textFill>
        </w:rPr>
        <w:t>同比</w:t>
      </w:r>
      <w:r>
        <w:rPr>
          <w:rFonts w:hint="eastAsia" w:ascii="仿宋_GB2312" w:eastAsia="仿宋_GB2312" w:cs="仿宋_GB2312"/>
          <w:color w:val="000000" w:themeColor="text1"/>
          <w:sz w:val="32"/>
          <w:szCs w:val="32"/>
          <w:highlight w:val="none"/>
          <w14:textFill>
            <w14:solidFill>
              <w14:schemeClr w14:val="tx1"/>
            </w14:solidFill>
          </w14:textFill>
        </w:rPr>
        <w:t>增长</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6.73</w:t>
      </w:r>
      <w:r>
        <w:rPr>
          <w:rFonts w:hint="eastAsia"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税收占比为50.64%，较上年同期的43.91%提高了6.73个百分点，</w:t>
      </w:r>
      <w:r>
        <w:rPr>
          <w:rFonts w:hint="eastAsia" w:ascii="仿宋_GB2312" w:eastAsia="仿宋_GB2312" w:cs="仿宋_GB2312"/>
          <w:color w:val="000000" w:themeColor="text1"/>
          <w:sz w:val="32"/>
          <w:szCs w:val="32"/>
          <w:highlight w:val="none"/>
          <w:lang w:eastAsia="zh-CN"/>
          <w14:textFill>
            <w14:solidFill>
              <w14:schemeClr w14:val="tx1"/>
            </w14:solidFill>
          </w14:textFill>
        </w:rPr>
        <w:t>收入质量进一步提高</w:t>
      </w:r>
      <w:r>
        <w:rPr>
          <w:rFonts w:hint="eastAsia"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Times New Roman"/>
          <w:color w:val="000000" w:themeColor="text1"/>
          <w:kern w:val="2"/>
          <w:sz w:val="32"/>
          <w:szCs w:val="32"/>
          <w:highlight w:val="none"/>
          <w:shd w:val="clear" w:color="auto" w:fill="FFFFFF"/>
          <w:lang w:val="en-US" w:eastAsia="zh-CN"/>
          <w14:textFill>
            <w14:solidFill>
              <w14:schemeClr w14:val="tx1"/>
            </w14:solidFill>
          </w14:textFill>
        </w:rPr>
        <w:t>编制</w:t>
      </w:r>
      <w:r>
        <w:rPr>
          <w:rFonts w:hint="eastAsia" w:ascii="仿宋_GB2312" w:eastAsia="仿宋_GB2312" w:cs="仿宋_GB2312"/>
          <w:color w:val="000000" w:themeColor="text1"/>
          <w:sz w:val="32"/>
          <w:szCs w:val="32"/>
          <w:highlight w:val="none"/>
          <w:lang w:eastAsia="zh-CN"/>
          <w14:textFill>
            <w14:solidFill>
              <w14:schemeClr w14:val="tx1"/>
            </w14:solidFill>
          </w14:textFill>
        </w:rPr>
        <w:t>印发《2023年度向上争取资金专项行动方案》、《肃南县</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2024</w:t>
      </w:r>
      <w:r>
        <w:rPr>
          <w:rFonts w:hint="eastAsia" w:ascii="仿宋_GB2312" w:eastAsia="仿宋_GB2312" w:cs="仿宋_GB2312"/>
          <w:color w:val="000000" w:themeColor="text1"/>
          <w:sz w:val="32"/>
          <w:szCs w:val="32"/>
          <w:highlight w:val="none"/>
          <w:lang w:eastAsia="zh-CN"/>
          <w14:textFill>
            <w14:solidFill>
              <w14:schemeClr w14:val="tx1"/>
            </w14:solidFill>
          </w14:textFill>
        </w:rPr>
        <w:t>年中央、省级和市级资金争引操作参考指南》，</w:t>
      </w:r>
      <w:r>
        <w:rPr>
          <w:rFonts w:hint="default" w:ascii="仿宋_GB2312" w:hAnsi="Calibri" w:eastAsia="仿宋_GB2312" w:cs="Times New Roman"/>
          <w:color w:val="000000" w:themeColor="text1"/>
          <w:kern w:val="2"/>
          <w:sz w:val="32"/>
          <w:szCs w:val="32"/>
          <w:highlight w:val="none"/>
          <w:shd w:val="clear" w:color="auto" w:fill="FFFFFF"/>
          <w:lang w:val="en-US" w:eastAsia="zh-CN"/>
          <w14:textFill>
            <w14:solidFill>
              <w14:schemeClr w14:val="tx1"/>
            </w14:solidFill>
          </w14:textFill>
        </w:rPr>
        <w:t>树牢新发展理念，准确捕捉政策机遇，找准对接结合点，强化与主管单位的横向沟通、与省直部门的纵向对接，确保全年争取上级资金目标任务落地落实</w:t>
      </w:r>
      <w:r>
        <w:rPr>
          <w:rFonts w:hint="eastAsia" w:ascii="仿宋_GB2312" w:eastAsia="仿宋_GB2312" w:cs="Times New Roman"/>
          <w:color w:val="000000" w:themeColor="text1"/>
          <w:kern w:val="2"/>
          <w:sz w:val="32"/>
          <w:szCs w:val="32"/>
          <w:highlight w:val="none"/>
          <w:shd w:val="clear" w:color="auto" w:fill="FFFFFF"/>
          <w:lang w:val="en-US" w:eastAsia="zh-CN"/>
          <w14:textFill>
            <w14:solidFill>
              <w14:schemeClr w14:val="tx1"/>
            </w14:solidFill>
          </w14:textFill>
        </w:rPr>
        <w:t>，全年</w:t>
      </w:r>
      <w:r>
        <w:rPr>
          <w:rFonts w:ascii="仿宋_GB2312" w:eastAsia="仿宋_GB2312"/>
          <w:color w:val="auto"/>
          <w:sz w:val="32"/>
          <w:szCs w:val="32"/>
          <w:highlight w:val="none"/>
          <w:lang w:val="en-US" w:eastAsia="zh-CN"/>
        </w:rPr>
        <w:t>争取各类</w:t>
      </w:r>
      <w:r>
        <w:rPr>
          <w:rFonts w:hint="eastAsia" w:ascii="仿宋_GB2312" w:eastAsia="仿宋_GB2312"/>
          <w:color w:val="auto"/>
          <w:sz w:val="32"/>
          <w:szCs w:val="32"/>
          <w:highlight w:val="none"/>
          <w:lang w:val="en-US" w:eastAsia="zh-CN"/>
        </w:rPr>
        <w:t>上级</w:t>
      </w:r>
      <w:r>
        <w:rPr>
          <w:rFonts w:ascii="仿宋_GB2312" w:eastAsia="仿宋_GB2312"/>
          <w:color w:val="auto"/>
          <w:sz w:val="32"/>
          <w:szCs w:val="32"/>
          <w:highlight w:val="none"/>
          <w:lang w:val="en-US" w:eastAsia="zh-CN"/>
        </w:rPr>
        <w:t>转移支付</w:t>
      </w:r>
      <w:r>
        <w:rPr>
          <w:rFonts w:hint="eastAsia" w:ascii="仿宋_GB2312" w:eastAsia="仿宋_GB2312"/>
          <w:color w:val="auto"/>
          <w:sz w:val="32"/>
          <w:szCs w:val="32"/>
          <w:highlight w:val="none"/>
          <w:lang w:val="en-US" w:eastAsia="zh-CN"/>
        </w:rPr>
        <w:t>160499万</w:t>
      </w:r>
      <w:r>
        <w:rPr>
          <w:rFonts w:ascii="仿宋_GB2312" w:eastAsia="仿宋_GB2312"/>
          <w:color w:val="auto"/>
          <w:sz w:val="32"/>
          <w:szCs w:val="32"/>
          <w:highlight w:val="none"/>
          <w:lang w:val="en-US" w:eastAsia="zh-CN"/>
        </w:rPr>
        <w:t>元</w:t>
      </w:r>
      <w:r>
        <w:rPr>
          <w:rFonts w:hint="eastAsia" w:ascii="仿宋_GB2312" w:eastAsia="仿宋_GB2312"/>
          <w:color w:val="auto"/>
          <w:sz w:val="32"/>
          <w:szCs w:val="32"/>
          <w:highlight w:val="none"/>
          <w:lang w:val="en-US" w:eastAsia="zh-CN"/>
        </w:rPr>
        <w:t>，其中：均衡性转移支付收入完成20045万元，县级基本财力保障机制奖补资金收入8226万元，结算补助收入完成3758万元，重点生态功能区转移支付收入15059万元，民族地区转移支付收入完成20321万元；</w:t>
      </w:r>
      <w:r>
        <w:rPr>
          <w:rFonts w:hint="eastAsia" w:ascii="仿宋_GB2312" w:eastAsia="仿宋_GB2312"/>
          <w:color w:val="auto"/>
          <w:sz w:val="32"/>
          <w:szCs w:val="32"/>
          <w:highlight w:val="none"/>
        </w:rPr>
        <w:t>争取政府债券资金</w:t>
      </w:r>
      <w:r>
        <w:rPr>
          <w:rFonts w:hint="eastAsia" w:ascii="仿宋_GB2312" w:eastAsia="仿宋_GB2312"/>
          <w:color w:val="auto"/>
          <w:sz w:val="32"/>
          <w:szCs w:val="32"/>
          <w:highlight w:val="none"/>
          <w:lang w:val="en-US" w:eastAsia="zh-CN"/>
        </w:rPr>
        <w:t>14427万</w:t>
      </w:r>
      <w:r>
        <w:rPr>
          <w:rFonts w:hint="eastAsia" w:ascii="仿宋_GB2312" w:eastAsia="仿宋_GB2312"/>
          <w:color w:val="auto"/>
          <w:sz w:val="32"/>
          <w:szCs w:val="32"/>
          <w:highlight w:val="none"/>
        </w:rPr>
        <w:t>元</w:t>
      </w:r>
      <w:r>
        <w:rPr>
          <w:rFonts w:hint="eastAsia" w:ascii="仿宋_GB2312" w:eastAsia="仿宋_GB2312"/>
          <w:color w:val="auto"/>
          <w:sz w:val="32"/>
          <w:szCs w:val="32"/>
          <w:highlight w:val="none"/>
          <w:lang w:eastAsia="zh-CN"/>
        </w:rPr>
        <w:t>（其中：一般债券</w:t>
      </w:r>
      <w:r>
        <w:rPr>
          <w:rFonts w:hint="eastAsia" w:ascii="仿宋_GB2312" w:eastAsia="仿宋_GB2312"/>
          <w:color w:val="auto"/>
          <w:sz w:val="32"/>
          <w:szCs w:val="32"/>
          <w:highlight w:val="none"/>
          <w:lang w:val="en-US" w:eastAsia="zh-CN"/>
        </w:rPr>
        <w:t>7427万元，再融资债券4800万元，专项债券2200万元</w:t>
      </w:r>
      <w:r>
        <w:rPr>
          <w:rFonts w:hint="eastAsia" w:ascii="仿宋_GB2312" w:eastAsia="仿宋_GB2312"/>
          <w:color w:val="auto"/>
          <w:sz w:val="32"/>
          <w:szCs w:val="32"/>
          <w:highlight w:val="none"/>
          <w:lang w:eastAsia="zh-CN"/>
        </w:rPr>
        <w:t>），</w:t>
      </w:r>
      <w:r>
        <w:rPr>
          <w:rFonts w:hint="eastAsia" w:ascii="仿宋_GB2312" w:eastAsia="仿宋_GB2312"/>
          <w:color w:val="000000"/>
          <w:sz w:val="32"/>
          <w:szCs w:val="32"/>
          <w:highlight w:val="none"/>
        </w:rPr>
        <w:t>为自治县经济社会发展和改善民生提供了资金保障。</w:t>
      </w:r>
      <w:r>
        <w:rPr>
          <w:rFonts w:hint="eastAsia" w:ascii="仿宋_GB2312" w:eastAsia="仿宋_GB2312" w:cs="仿宋_GB2312"/>
          <w:color w:val="000000" w:themeColor="text1"/>
          <w:sz w:val="32"/>
          <w:szCs w:val="32"/>
          <w:highlight w:val="none"/>
          <w14:textFill>
            <w14:solidFill>
              <w14:schemeClr w14:val="tx1"/>
            </w14:solidFill>
          </w14:textFill>
        </w:rPr>
        <w:t>严格执行盘活存量资金有关规定，累计清理盘活财政存量资金</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1285.03</w:t>
      </w:r>
      <w:r>
        <w:rPr>
          <w:rFonts w:hint="eastAsia" w:ascii="仿宋_GB2312" w:eastAsia="仿宋_GB2312" w:cs="仿宋_GB2312"/>
          <w:color w:val="000000" w:themeColor="text1"/>
          <w:sz w:val="32"/>
          <w:szCs w:val="32"/>
          <w:highlight w:val="none"/>
          <w14:textFill>
            <w14:solidFill>
              <w14:schemeClr w14:val="tx1"/>
            </w14:solidFill>
          </w14:textFill>
        </w:rPr>
        <w:t>万元，统筹用于县委、县政府确定的重点任务和民生领域。</w:t>
      </w:r>
    </w:p>
    <w:p w14:paraId="19FDF9F6">
      <w:pPr>
        <w:keepNext w:val="0"/>
        <w:keepLines w:val="0"/>
        <w:pageBreakBefore w:val="0"/>
        <w:widowControl/>
        <w:numPr>
          <w:ilvl w:val="0"/>
          <w:numId w:val="0"/>
        </w:numPr>
        <w:suppressLineNumbers w:val="0"/>
        <w:kinsoku/>
        <w:wordWrap/>
        <w:overflowPunct/>
        <w:topLinePunct w:val="0"/>
        <w:autoSpaceDE/>
        <w:autoSpaceDN/>
        <w:bidi w:val="0"/>
        <w:spacing w:line="560" w:lineRule="exact"/>
        <w:ind w:firstLine="643" w:firstLineChars="200"/>
        <w:jc w:val="both"/>
        <w:textAlignment w:val="auto"/>
        <w:rPr>
          <w:rFonts w:hint="eastAsia" w:ascii="仿宋_GB2312" w:eastAsia="仿宋_GB2312" w:cs="仿宋_GB2312"/>
          <w:color w:val="000000" w:themeColor="text1"/>
          <w:sz w:val="32"/>
          <w:szCs w:val="32"/>
          <w:highlight w:val="none"/>
          <w14:textFill>
            <w14:solidFill>
              <w14:schemeClr w14:val="tx1"/>
            </w14:solidFill>
          </w14:textFill>
        </w:rPr>
      </w:pPr>
      <w:r>
        <w:rPr>
          <w:rFonts w:hint="eastAsia" w:ascii="楷体_GB2312" w:eastAsia="楷体_GB2312" w:cs="仿宋_GB2312"/>
          <w:b/>
          <w:color w:val="000000" w:themeColor="text1"/>
          <w:sz w:val="32"/>
          <w:szCs w:val="32"/>
          <w:highlight w:val="none"/>
          <w:lang w:val="en-US" w:eastAsia="zh-CN"/>
          <w14:textFill>
            <w14:solidFill>
              <w14:schemeClr w14:val="tx1"/>
            </w14:solidFill>
          </w14:textFill>
        </w:rPr>
        <w:t>2.</w:t>
      </w:r>
      <w:r>
        <w:rPr>
          <w:rFonts w:hint="eastAsia" w:ascii="楷体_GB2312" w:eastAsia="楷体_GB2312" w:cs="仿宋_GB2312"/>
          <w:b/>
          <w:color w:val="000000" w:themeColor="text1"/>
          <w:sz w:val="32"/>
          <w:szCs w:val="32"/>
          <w:highlight w:val="none"/>
          <w14:textFill>
            <w14:solidFill>
              <w14:schemeClr w14:val="tx1"/>
            </w14:solidFill>
          </w14:textFill>
        </w:rPr>
        <w:t>坚决扛起“保”的责任，民生福祉不断改善。</w:t>
      </w:r>
      <w:r>
        <w:rPr>
          <w:rFonts w:hint="eastAsia" w:ascii="仿宋_GB2312" w:eastAsia="仿宋_GB2312" w:cs="仿宋_GB2312"/>
          <w:color w:val="000000" w:themeColor="text1"/>
          <w:sz w:val="32"/>
          <w:szCs w:val="32"/>
          <w:highlight w:val="none"/>
          <w14:textFill>
            <w14:solidFill>
              <w14:schemeClr w14:val="tx1"/>
            </w14:solidFill>
          </w14:textFill>
        </w:rPr>
        <w:t>严格落实党政机关带头过紧日子要求，持续优化支出结构，不断加大民生投入力度，集中有限财力重点用于保障和改善民生，尽全力为群众谋好事、办实事，努力让人民群众的获得感成色更足、幸福感更可持续、安全感更有保障。全县民生领域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150713</w:t>
      </w:r>
      <w:r>
        <w:rPr>
          <w:rFonts w:hint="eastAsia" w:ascii="仿宋_GB2312" w:eastAsia="仿宋_GB2312" w:cs="仿宋_GB2312"/>
          <w:color w:val="000000" w:themeColor="text1"/>
          <w:sz w:val="32"/>
          <w:szCs w:val="32"/>
          <w:highlight w:val="none"/>
          <w14:textFill>
            <w14:solidFill>
              <w14:schemeClr w14:val="tx1"/>
            </w14:solidFill>
          </w14:textFill>
        </w:rPr>
        <w:t>万元，占一般公共预算支出的</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78.71</w:t>
      </w:r>
      <w:r>
        <w:rPr>
          <w:rFonts w:hint="eastAsia"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一</w:t>
      </w:r>
      <w:r>
        <w:rPr>
          <w:rFonts w:hint="eastAsia" w:ascii="仿宋_GB2312" w:eastAsia="仿宋_GB2312" w:cs="仿宋_GB2312"/>
          <w:b/>
          <w:bCs/>
          <w:color w:val="000000" w:themeColor="text1"/>
          <w:sz w:val="32"/>
          <w:szCs w:val="32"/>
          <w:highlight w:val="none"/>
          <w14:textFill>
            <w14:solidFill>
              <w14:schemeClr w14:val="tx1"/>
            </w14:solidFill>
          </w14:textFill>
        </w:rPr>
        <w:t>是“三保”兜牢兜实。</w:t>
      </w:r>
      <w:r>
        <w:rPr>
          <w:rFonts w:hint="eastAsia" w:ascii="仿宋_GB2312" w:eastAsia="仿宋_GB2312" w:cs="仿宋_GB2312"/>
          <w:color w:val="000000" w:themeColor="text1"/>
          <w:sz w:val="32"/>
          <w:szCs w:val="32"/>
          <w:highlight w:val="none"/>
          <w14:textFill>
            <w14:solidFill>
              <w14:schemeClr w14:val="tx1"/>
            </w14:solidFill>
          </w14:textFill>
        </w:rPr>
        <w:t>强化“三保”支出管理，坚持“三保”支出在财政支出中的优先顺序，全年实现“三保”支出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54950</w:t>
      </w:r>
      <w:r>
        <w:rPr>
          <w:rFonts w:hint="eastAsia" w:ascii="仿宋_GB2312" w:eastAsia="仿宋_GB2312" w:cs="仿宋_GB2312"/>
          <w:color w:val="000000" w:themeColor="text1"/>
          <w:sz w:val="32"/>
          <w:szCs w:val="32"/>
          <w:highlight w:val="none"/>
          <w14:textFill>
            <w14:solidFill>
              <w14:schemeClr w14:val="tx1"/>
            </w14:solidFill>
          </w14:textFill>
        </w:rPr>
        <w:t>万元，基本民生支出有效保障，人员工资及时发放，机构运转平稳正常，有效兜牢了“三保”底线</w:t>
      </w:r>
      <w:r>
        <w:rPr>
          <w:rFonts w:hint="eastAsia" w:ascii="仿宋_GB2312" w:eastAsia="仿宋_GB2312" w:cs="仿宋_GB2312"/>
          <w:color w:val="000000" w:themeColor="text1"/>
          <w:sz w:val="32"/>
          <w:szCs w:val="32"/>
          <w:highlight w:val="none"/>
          <w:lang w:eastAsia="zh-CN"/>
          <w14:textFill>
            <w14:solidFill>
              <w14:schemeClr w14:val="tx1"/>
            </w14:solidFill>
          </w14:textFill>
        </w:rPr>
        <w:t>。全面落实“三公”经费“只减不增”要求，截止目前，“三公”经费支出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677.28万元，下降1.82%。</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二</w:t>
      </w:r>
      <w:r>
        <w:rPr>
          <w:rFonts w:hint="eastAsia" w:ascii="仿宋_GB2312" w:eastAsia="仿宋_GB2312" w:cs="仿宋_GB2312"/>
          <w:b/>
          <w:bCs/>
          <w:color w:val="000000" w:themeColor="text1"/>
          <w:sz w:val="32"/>
          <w:szCs w:val="32"/>
          <w:highlight w:val="none"/>
          <w14:textFill>
            <w14:solidFill>
              <w14:schemeClr w14:val="tx1"/>
            </w14:solidFill>
          </w14:textFill>
        </w:rPr>
        <w:t>是教育水平显著提升。</w:t>
      </w:r>
      <w:r>
        <w:rPr>
          <w:rFonts w:hint="eastAsia" w:ascii="仿宋_GB2312" w:eastAsia="仿宋_GB2312" w:cs="仿宋_GB2312"/>
          <w:color w:val="000000" w:themeColor="text1"/>
          <w:sz w:val="32"/>
          <w:szCs w:val="32"/>
          <w:highlight w:val="none"/>
          <w14:textFill>
            <w14:solidFill>
              <w14:schemeClr w14:val="tx1"/>
            </w14:solidFill>
          </w14:textFill>
        </w:rPr>
        <w:t>投入资金</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13621</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ascii="仿宋_GB2312" w:eastAsia="仿宋_GB2312" w:cs="仿宋_GB2312"/>
          <w:color w:val="000000" w:themeColor="text1"/>
          <w:sz w:val="32"/>
          <w:szCs w:val="32"/>
          <w:highlight w:val="none"/>
          <w14:textFill>
            <w14:solidFill>
              <w14:schemeClr w14:val="tx1"/>
            </w14:solidFill>
          </w14:textFill>
        </w:rPr>
        <w:t>全面落实财政教育支出</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两个只增不减</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要求</w:t>
      </w:r>
      <w:r>
        <w:rPr>
          <w:rFonts w:hint="eastAsia" w:ascii="仿宋_GB2312" w:eastAsia="仿宋_GB2312" w:cs="仿宋_GB2312"/>
          <w:color w:val="000000" w:themeColor="text1"/>
          <w:sz w:val="32"/>
          <w:szCs w:val="32"/>
          <w:highlight w:val="none"/>
          <w:lang w:eastAsia="zh-CN"/>
          <w14:textFill>
            <w14:solidFill>
              <w14:schemeClr w14:val="tx1"/>
            </w14:solidFill>
          </w14:textFill>
        </w:rPr>
        <w:t>和</w:t>
      </w:r>
      <w:r>
        <w:rPr>
          <w:rFonts w:hint="eastAsia" w:ascii="仿宋_GB2312" w:hAnsi="Calibri" w:eastAsia="仿宋_GB2312"/>
          <w:color w:val="000000"/>
          <w:sz w:val="32"/>
          <w:highlight w:val="none"/>
        </w:rPr>
        <w:t>各级教育公用经费，着力改善农村学校、公立幼儿园办学条件，</w:t>
      </w:r>
      <w:r>
        <w:rPr>
          <w:rFonts w:hint="eastAsia" w:ascii="仿宋_GB2312" w:eastAsia="仿宋_GB2312" w:cs="仿宋_GB2312"/>
          <w:color w:val="000000" w:themeColor="text1"/>
          <w:sz w:val="32"/>
          <w:szCs w:val="32"/>
          <w:highlight w:val="none"/>
          <w:lang w:eastAsia="zh-CN"/>
          <w14:textFill>
            <w14:solidFill>
              <w14:schemeClr w14:val="tx1"/>
            </w14:solidFill>
          </w14:textFill>
        </w:rPr>
        <w:t>持续</w:t>
      </w:r>
      <w:r>
        <w:rPr>
          <w:rFonts w:ascii="仿宋_GB2312" w:eastAsia="仿宋_GB2312" w:cs="仿宋_GB2312"/>
          <w:color w:val="000000" w:themeColor="text1"/>
          <w:sz w:val="32"/>
          <w:szCs w:val="32"/>
          <w:highlight w:val="none"/>
          <w14:textFill>
            <w14:solidFill>
              <w14:schemeClr w14:val="tx1"/>
            </w14:solidFill>
          </w14:textFill>
        </w:rPr>
        <w:t>推动开展</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托幼一体化</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婴幼儿照护服务，改善提升义务教育薄弱环节、普通高中办学条件、现代职业教育质量等教育项目，</w:t>
      </w:r>
      <w:r>
        <w:rPr>
          <w:rFonts w:hint="eastAsia" w:ascii="仿宋_GB2312" w:eastAsia="仿宋_GB2312" w:cs="仿宋_GB2312"/>
          <w:color w:val="000000" w:themeColor="text1"/>
          <w:sz w:val="32"/>
          <w:szCs w:val="32"/>
          <w:highlight w:val="none"/>
          <w:lang w:eastAsia="zh-CN"/>
          <w14:textFill>
            <w14:solidFill>
              <w14:schemeClr w14:val="tx1"/>
            </w14:solidFill>
          </w14:textFill>
        </w:rPr>
        <w:t>义务教育优质均衡发展通过省级督导评估验收，县域学前教育普及普惠发展通过国家督导评估认定，</w:t>
      </w:r>
      <w:r>
        <w:rPr>
          <w:rFonts w:ascii="仿宋_GB2312" w:eastAsia="仿宋_GB2312" w:cs="仿宋_GB2312"/>
          <w:color w:val="000000" w:themeColor="text1"/>
          <w:sz w:val="32"/>
          <w:szCs w:val="32"/>
          <w:highlight w:val="none"/>
          <w14:textFill>
            <w14:solidFill>
              <w14:schemeClr w14:val="tx1"/>
            </w14:solidFill>
          </w14:textFill>
        </w:rPr>
        <w:t>助推教育</w:t>
      </w:r>
      <w:r>
        <w:rPr>
          <w:rFonts w:hint="eastAsia" w:ascii="仿宋_GB2312" w:eastAsia="仿宋_GB2312" w:cs="仿宋_GB2312"/>
          <w:color w:val="000000" w:themeColor="text1"/>
          <w:sz w:val="32"/>
          <w:szCs w:val="32"/>
          <w:highlight w:val="none"/>
          <w:lang w:eastAsia="zh-CN"/>
          <w14:textFill>
            <w14:solidFill>
              <w14:schemeClr w14:val="tx1"/>
            </w14:solidFill>
          </w14:textFill>
        </w:rPr>
        <w:t>优质均衡</w:t>
      </w:r>
      <w:r>
        <w:rPr>
          <w:rFonts w:ascii="仿宋_GB2312" w:eastAsia="仿宋_GB2312" w:cs="仿宋_GB2312"/>
          <w:color w:val="000000" w:themeColor="text1"/>
          <w:sz w:val="32"/>
          <w:szCs w:val="32"/>
          <w:highlight w:val="none"/>
          <w14:textFill>
            <w14:solidFill>
              <w14:schemeClr w14:val="tx1"/>
            </w14:solidFill>
          </w14:textFill>
        </w:rPr>
        <w:t>发展。</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三</w:t>
      </w:r>
      <w:r>
        <w:rPr>
          <w:rFonts w:hint="eastAsia" w:ascii="仿宋_GB2312" w:eastAsia="仿宋_GB2312" w:cs="仿宋_GB2312"/>
          <w:b/>
          <w:bCs/>
          <w:color w:val="000000" w:themeColor="text1"/>
          <w:sz w:val="32"/>
          <w:szCs w:val="32"/>
          <w:highlight w:val="none"/>
          <w14:textFill>
            <w14:solidFill>
              <w14:schemeClr w14:val="tx1"/>
            </w14:solidFill>
          </w14:textFill>
        </w:rPr>
        <w:t>是社保服务持续增效。</w:t>
      </w:r>
      <w:r>
        <w:rPr>
          <w:rFonts w:hint="eastAsia" w:ascii="仿宋_GB2312" w:eastAsia="仿宋_GB2312" w:cs="仿宋_GB2312"/>
          <w:color w:val="000000" w:themeColor="text1"/>
          <w:sz w:val="32"/>
          <w:szCs w:val="32"/>
          <w:highlight w:val="none"/>
          <w14:textFill>
            <w14:solidFill>
              <w14:schemeClr w14:val="tx1"/>
            </w14:solidFill>
          </w14:textFill>
        </w:rPr>
        <w:t>投入资金</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18473</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hint="eastAsia" w:ascii="仿宋_GB2312" w:eastAsia="仿宋_GB2312" w:cs="仿宋_GB2312"/>
          <w:color w:val="000000" w:themeColor="text1"/>
          <w:sz w:val="32"/>
          <w:szCs w:val="32"/>
          <w:highlight w:val="none"/>
          <w:lang w:eastAsia="zh-CN"/>
          <w14:textFill>
            <w14:solidFill>
              <w14:schemeClr w14:val="tx1"/>
            </w14:solidFill>
          </w14:textFill>
        </w:rPr>
        <w:t>支持重点群体就业创业，持续加大对高校毕业生、退役军人、就业困难人员等重点群体就业帮扶；持续做好社会救助、社会福利、优抚安置，城乡居民低保补贴、基本养老保险和失业保险、困难群体救助民生政策实现提标扩面，有力保障困难群众的基本生活</w:t>
      </w:r>
      <w:r>
        <w:rPr>
          <w:rFonts w:hint="eastAsia"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四</w:t>
      </w:r>
      <w:r>
        <w:rPr>
          <w:rFonts w:hint="eastAsia" w:ascii="仿宋_GB2312" w:eastAsia="仿宋_GB2312" w:cs="仿宋_GB2312"/>
          <w:b/>
          <w:bCs/>
          <w:color w:val="000000" w:themeColor="text1"/>
          <w:sz w:val="32"/>
          <w:szCs w:val="32"/>
          <w:highlight w:val="none"/>
          <w14:textFill>
            <w14:solidFill>
              <w14:schemeClr w14:val="tx1"/>
            </w14:solidFill>
          </w14:textFill>
        </w:rPr>
        <w:t>是卫健事业加速发展。</w:t>
      </w:r>
      <w:r>
        <w:rPr>
          <w:rFonts w:hint="eastAsia" w:ascii="仿宋_GB2312" w:eastAsia="仿宋_GB2312" w:cs="仿宋_GB2312"/>
          <w:color w:val="000000" w:themeColor="text1"/>
          <w:sz w:val="32"/>
          <w:szCs w:val="32"/>
          <w:highlight w:val="none"/>
          <w14:textFill>
            <w14:solidFill>
              <w14:schemeClr w14:val="tx1"/>
            </w14:solidFill>
          </w14:textFill>
        </w:rPr>
        <w:t>投入资金</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11139</w:t>
      </w:r>
      <w:r>
        <w:rPr>
          <w:rFonts w:hint="eastAsia" w:ascii="仿宋_GB2312" w:eastAsia="仿宋_GB2312" w:cs="仿宋_GB2312"/>
          <w:color w:val="000000" w:themeColor="text1"/>
          <w:sz w:val="32"/>
          <w:szCs w:val="32"/>
          <w:highlight w:val="none"/>
          <w14:textFill>
            <w14:solidFill>
              <w14:schemeClr w14:val="tx1"/>
            </w14:solidFill>
          </w14:textFill>
        </w:rPr>
        <w:t>万元，支持足额保障基本公共卫生、取消药品加成、两癌筛查等项目县级配套；落实计划生育奖励政策、基本药物制度、公立医院综合改革</w:t>
      </w:r>
      <w:r>
        <w:rPr>
          <w:rFonts w:hint="eastAsia" w:ascii="仿宋_GB2312" w:eastAsia="仿宋_GB2312" w:cs="仿宋_GB2312"/>
          <w:color w:val="000000" w:themeColor="text1"/>
          <w:sz w:val="32"/>
          <w:szCs w:val="32"/>
          <w:highlight w:val="none"/>
          <w:lang w:eastAsia="zh-CN"/>
          <w14:textFill>
            <w14:solidFill>
              <w14:schemeClr w14:val="tx1"/>
            </w14:solidFill>
          </w14:textFill>
        </w:rPr>
        <w:t>与高质量发展</w:t>
      </w:r>
      <w:r>
        <w:rPr>
          <w:rFonts w:hint="eastAsia" w:ascii="仿宋_GB2312" w:eastAsia="仿宋_GB2312" w:cs="仿宋_GB2312"/>
          <w:color w:val="000000" w:themeColor="text1"/>
          <w:sz w:val="32"/>
          <w:szCs w:val="32"/>
          <w:highlight w:val="none"/>
          <w14:textFill>
            <w14:solidFill>
              <w14:schemeClr w14:val="tx1"/>
            </w14:solidFill>
          </w14:textFill>
        </w:rPr>
        <w:t>、基层医疗卫生机构运行、疾病预防控制等卫生健康支出。</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五</w:t>
      </w:r>
      <w:r>
        <w:rPr>
          <w:rFonts w:hint="eastAsia" w:ascii="仿宋_GB2312" w:eastAsia="仿宋_GB2312" w:cs="仿宋_GB2312"/>
          <w:b/>
          <w:bCs/>
          <w:color w:val="000000" w:themeColor="text1"/>
          <w:sz w:val="32"/>
          <w:szCs w:val="32"/>
          <w:highlight w:val="none"/>
          <w14:textFill>
            <w14:solidFill>
              <w14:schemeClr w14:val="tx1"/>
            </w14:solidFill>
          </w14:textFill>
        </w:rPr>
        <w:t>是</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惠民惠农</w:t>
      </w:r>
      <w:r>
        <w:rPr>
          <w:rFonts w:hint="eastAsia" w:ascii="仿宋_GB2312" w:eastAsia="仿宋_GB2312" w:cs="仿宋_GB2312"/>
          <w:b/>
          <w:bCs/>
          <w:color w:val="000000" w:themeColor="text1"/>
          <w:sz w:val="32"/>
          <w:szCs w:val="32"/>
          <w:highlight w:val="none"/>
          <w14:textFill>
            <w14:solidFill>
              <w14:schemeClr w14:val="tx1"/>
            </w14:solidFill>
          </w14:textFill>
        </w:rPr>
        <w:t>强力推进。</w:t>
      </w:r>
      <w:r>
        <w:rPr>
          <w:rFonts w:hint="eastAsia" w:ascii="仿宋_GB2312" w:hAnsi="仿宋_GB2312" w:eastAsia="仿宋_GB2312" w:cs="仿宋_GB2312"/>
          <w:color w:val="000000"/>
          <w:sz w:val="32"/>
          <w:szCs w:val="32"/>
          <w:highlight w:val="none"/>
        </w:rPr>
        <w:t>完善惠民惠农财政补贴“一卡通”管理工作</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rPr>
        <w:t>确保各项惠民惠农补贴资金准确、及时、安全、足额发放到位。全年累计发放草原生态奖补、退牧还草补助、</w:t>
      </w:r>
      <w:r>
        <w:rPr>
          <w:rFonts w:hint="eastAsia" w:ascii="仿宋_GB2312" w:eastAsia="仿宋_GB2312"/>
          <w:color w:val="000000"/>
          <w:sz w:val="32"/>
          <w:szCs w:val="32"/>
          <w:highlight w:val="none"/>
        </w:rPr>
        <w:t>耕地地力保护</w:t>
      </w:r>
      <w:r>
        <w:rPr>
          <w:rFonts w:hint="eastAsia" w:ascii="仿宋_GB2312" w:eastAsia="仿宋_GB2312"/>
          <w:color w:val="auto"/>
          <w:sz w:val="32"/>
          <w:szCs w:val="32"/>
          <w:highlight w:val="none"/>
        </w:rPr>
        <w:t>补贴、农村低保、医疗救助、农机具购置</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eastAsia="zh-CN"/>
        </w:rPr>
        <w:t>共</w:t>
      </w:r>
      <w:r>
        <w:rPr>
          <w:rFonts w:hint="eastAsia" w:ascii="仿宋_GB2312" w:hAnsi="仿宋_GB2312" w:eastAsia="仿宋_GB2312" w:cs="仿宋_GB2312"/>
          <w:color w:val="auto"/>
          <w:sz w:val="32"/>
          <w:szCs w:val="32"/>
          <w:highlight w:val="none"/>
          <w:lang w:val="en-US" w:eastAsia="zh-CN"/>
        </w:rPr>
        <w:t>64项</w:t>
      </w:r>
      <w:r>
        <w:rPr>
          <w:rFonts w:hint="eastAsia" w:ascii="仿宋_GB2312" w:hAnsi="仿宋_GB2312" w:eastAsia="仿宋_GB2312" w:cs="仿宋_GB2312"/>
          <w:color w:val="auto"/>
          <w:sz w:val="32"/>
          <w:szCs w:val="32"/>
          <w:highlight w:val="none"/>
        </w:rPr>
        <w:t>惠民惠农资金</w:t>
      </w:r>
      <w:r>
        <w:rPr>
          <w:rFonts w:hint="eastAsia" w:ascii="仿宋_GB2312" w:hAnsi="仿宋_GB2312" w:eastAsia="仿宋_GB2312" w:cs="仿宋_GB2312"/>
          <w:color w:val="auto"/>
          <w:sz w:val="32"/>
          <w:szCs w:val="32"/>
          <w:highlight w:val="none"/>
          <w:lang w:val="en-US" w:eastAsia="zh-CN"/>
        </w:rPr>
        <w:t>34404.94万</w:t>
      </w:r>
      <w:r>
        <w:rPr>
          <w:rFonts w:hint="eastAsia" w:ascii="仿宋_GB2312" w:hAnsi="仿宋_GB2312" w:eastAsia="仿宋_GB2312" w:cs="仿宋_GB2312"/>
          <w:color w:val="auto"/>
          <w:sz w:val="32"/>
          <w:szCs w:val="32"/>
          <w:highlight w:val="none"/>
        </w:rPr>
        <w:t>元</w:t>
      </w:r>
      <w:r>
        <w:rPr>
          <w:rFonts w:hint="eastAsia" w:ascii="仿宋_GB2312" w:hAnsi="仿宋_GB2312" w:eastAsia="仿宋_GB2312" w:cs="仿宋_GB2312"/>
          <w:color w:val="auto"/>
          <w:sz w:val="32"/>
          <w:szCs w:val="32"/>
          <w:highlight w:val="none"/>
          <w:lang w:eastAsia="zh-CN"/>
        </w:rPr>
        <w:t>，累计发放</w:t>
      </w:r>
      <w:r>
        <w:rPr>
          <w:rFonts w:hint="eastAsia" w:ascii="仿宋_GB2312" w:hAnsi="仿宋_GB2312" w:eastAsia="仿宋_GB2312" w:cs="仿宋_GB2312"/>
          <w:color w:val="auto"/>
          <w:sz w:val="32"/>
          <w:szCs w:val="32"/>
          <w:highlight w:val="none"/>
          <w:lang w:val="en-US" w:eastAsia="zh-CN"/>
        </w:rPr>
        <w:t>13.28万人次</w:t>
      </w:r>
      <w:r>
        <w:rPr>
          <w:rFonts w:ascii="宋体" w:hAnsi="宋体" w:eastAsia="宋体" w:cs="宋体"/>
          <w:color w:val="auto"/>
          <w:kern w:val="0"/>
          <w:sz w:val="24"/>
          <w:szCs w:val="24"/>
          <w:highlight w:val="none"/>
          <w:lang w:val="en-US" w:eastAsia="zh-CN" w:bidi="ar"/>
        </w:rPr>
        <w:t>。</w:t>
      </w:r>
    </w:p>
    <w:p w14:paraId="48F8C302">
      <w:pPr>
        <w:pStyle w:val="20"/>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contextualSpacing/>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eastAsia="楷体_GB2312" w:cs="仿宋_GB2312"/>
          <w:b/>
          <w:color w:val="000000" w:themeColor="text1"/>
          <w:sz w:val="32"/>
          <w:szCs w:val="32"/>
          <w:highlight w:val="none"/>
          <w:lang w:val="en-US" w:eastAsia="zh-CN"/>
          <w14:textFill>
            <w14:solidFill>
              <w14:schemeClr w14:val="tx1"/>
            </w14:solidFill>
          </w14:textFill>
        </w:rPr>
        <w:t>3.</w:t>
      </w:r>
      <w:r>
        <w:rPr>
          <w:rFonts w:hint="eastAsia" w:ascii="楷体_GB2312" w:eastAsia="楷体_GB2312" w:cs="仿宋_GB2312"/>
          <w:b/>
          <w:color w:val="000000" w:themeColor="text1"/>
          <w:sz w:val="32"/>
          <w:szCs w:val="32"/>
          <w:highlight w:val="none"/>
          <w14:textFill>
            <w14:solidFill>
              <w14:schemeClr w14:val="tx1"/>
            </w14:solidFill>
          </w14:textFill>
        </w:rPr>
        <w:t>坚决筑牢“防”的堤坝，风险底线不断加固。</w:t>
      </w:r>
      <w:r>
        <w:rPr>
          <w:rFonts w:ascii="仿宋_GB2312" w:eastAsia="仿宋_GB2312"/>
          <w:color w:val="000000" w:themeColor="text1"/>
          <w:sz w:val="32"/>
          <w:szCs w:val="32"/>
          <w:highlight w:val="none"/>
          <w:shd w:val="clear" w:color="auto" w:fill="FFFFFF"/>
          <w:lang w:val="en-US" w:eastAsia="zh-CN"/>
          <w14:textFill>
            <w14:solidFill>
              <w14:schemeClr w14:val="tx1"/>
            </w14:solidFill>
          </w14:textFill>
        </w:rPr>
        <w:t>坚持底线思维，推进财政治理体系和能力现代化建设，有效防范化解各类风险挑战。</w:t>
      </w:r>
      <w:r>
        <w:rPr>
          <w:rFonts w:ascii="仿宋_GB2312" w:eastAsia="仿宋_GB2312"/>
          <w:b/>
          <w:bCs/>
          <w:color w:val="000000" w:themeColor="text1"/>
          <w:sz w:val="32"/>
          <w:szCs w:val="32"/>
          <w:highlight w:val="none"/>
          <w:shd w:val="clear" w:color="auto" w:fill="FFFFFF"/>
          <w:lang w:val="en-US" w:eastAsia="zh-CN"/>
          <w14:textFill>
            <w14:solidFill>
              <w14:schemeClr w14:val="tx1"/>
            </w14:solidFill>
          </w14:textFill>
        </w:rPr>
        <w:t>一是</w:t>
      </w:r>
      <w:r>
        <w:rPr>
          <w:rFonts w:hint="default" w:ascii="仿宋_GB2312" w:eastAsia="仿宋_GB2312"/>
          <w:b/>
          <w:bCs/>
          <w:color w:val="000000" w:themeColor="text1"/>
          <w:sz w:val="32"/>
          <w:szCs w:val="32"/>
          <w:highlight w:val="none"/>
          <w:shd w:val="clear" w:color="auto" w:fill="FFFFFF"/>
          <w:lang w:val="en-US" w:eastAsia="zh-CN"/>
          <w14:textFill>
            <w14:solidFill>
              <w14:schemeClr w14:val="tx1"/>
            </w14:solidFill>
          </w14:textFill>
        </w:rPr>
        <w:t>积极用活融资平台</w:t>
      </w:r>
      <w:r>
        <w:rPr>
          <w:rFonts w:hint="eastAsia" w:ascii="仿宋_GB2312" w:eastAsia="仿宋_GB2312"/>
          <w:b/>
          <w:bCs/>
          <w:color w:val="000000" w:themeColor="text1"/>
          <w:sz w:val="32"/>
          <w:szCs w:val="32"/>
          <w:highlight w:val="none"/>
          <w:shd w:val="clear" w:color="auto" w:fill="FFFFFF"/>
          <w:lang w:val="en-US" w:eastAsia="zh-CN"/>
          <w14:textFill>
            <w14:solidFill>
              <w14:schemeClr w14:val="tx1"/>
            </w14:solidFill>
          </w14:textFill>
        </w:rPr>
        <w:t>，</w:t>
      </w:r>
      <w:r>
        <w:rPr>
          <w:rFonts w:hint="default" w:ascii="仿宋_GB2312" w:eastAsia="仿宋_GB2312"/>
          <w:b/>
          <w:bCs/>
          <w:color w:val="000000" w:themeColor="text1"/>
          <w:sz w:val="32"/>
          <w:szCs w:val="32"/>
          <w:highlight w:val="none"/>
          <w:shd w:val="clear" w:color="auto" w:fill="FFFFFF"/>
          <w:lang w:val="en-US" w:eastAsia="zh-CN"/>
          <w14:textFill>
            <w14:solidFill>
              <w14:schemeClr w14:val="tx1"/>
            </w14:solidFill>
          </w14:textFill>
        </w:rPr>
        <w:t>遏制新增</w:t>
      </w:r>
      <w:r>
        <w:rPr>
          <w:rFonts w:hint="eastAsia" w:ascii="仿宋_GB2312" w:eastAsia="仿宋_GB2312"/>
          <w:b/>
          <w:bCs/>
          <w:color w:val="000000" w:themeColor="text1"/>
          <w:sz w:val="32"/>
          <w:szCs w:val="32"/>
          <w:highlight w:val="none"/>
          <w:shd w:val="clear" w:color="auto" w:fill="FFFFFF"/>
          <w:lang w:val="en-US" w:eastAsia="zh-CN"/>
          <w14:textFill>
            <w14:solidFill>
              <w14:schemeClr w14:val="tx1"/>
            </w14:solidFill>
          </w14:textFill>
        </w:rPr>
        <w:t>YX</w:t>
      </w:r>
      <w:r>
        <w:rPr>
          <w:rFonts w:hint="default" w:ascii="仿宋_GB2312" w:eastAsia="仿宋_GB2312"/>
          <w:b/>
          <w:bCs/>
          <w:color w:val="000000" w:themeColor="text1"/>
          <w:sz w:val="32"/>
          <w:szCs w:val="32"/>
          <w:highlight w:val="none"/>
          <w:shd w:val="clear" w:color="auto" w:fill="FFFFFF"/>
          <w:lang w:val="en-US" w:eastAsia="zh-CN"/>
          <w14:textFill>
            <w14:solidFill>
              <w14:schemeClr w14:val="tx1"/>
            </w14:solidFill>
          </w14:textFill>
        </w:rPr>
        <w:t>债务。</w:t>
      </w:r>
      <w:r>
        <w:rPr>
          <w:rFonts w:hint="default" w:ascii="仿宋_GB2312" w:eastAsia="仿宋_GB2312"/>
          <w:color w:val="000000" w:themeColor="text1"/>
          <w:sz w:val="32"/>
          <w:szCs w:val="32"/>
          <w:highlight w:val="none"/>
          <w:shd w:val="clear" w:color="auto" w:fill="FFFFFF"/>
          <w:lang w:val="en-US" w:eastAsia="zh-CN"/>
          <w14:textFill>
            <w14:solidFill>
              <w14:schemeClr w14:val="tx1"/>
            </w14:solidFill>
          </w14:textFill>
        </w:rPr>
        <w:t>进一步强化政策宣传，要求融资平台提高政治站位，增强政治纪律和政治规矩意识，</w:t>
      </w:r>
      <w:r>
        <w:rPr>
          <w:rFonts w:hint="eastAsia" w:ascii="仿宋_GB2312" w:eastAsia="仿宋_GB2312"/>
          <w:color w:val="000000" w:themeColor="text1"/>
          <w:sz w:val="32"/>
          <w:szCs w:val="32"/>
          <w:highlight w:val="none"/>
          <w:shd w:val="clear" w:color="auto" w:fill="FFFFFF"/>
          <w:lang w:val="en-US" w:eastAsia="zh-CN"/>
          <w14:textFill>
            <w14:solidFill>
              <w14:schemeClr w14:val="tx1"/>
            </w14:solidFill>
          </w14:textFill>
        </w:rPr>
        <w:t>坚决</w:t>
      </w:r>
      <w:r>
        <w:rPr>
          <w:rFonts w:ascii="仿宋_GB2312" w:eastAsia="仿宋_GB2312"/>
          <w:color w:val="000000" w:themeColor="text1"/>
          <w:sz w:val="32"/>
          <w:szCs w:val="32"/>
          <w:highlight w:val="none"/>
          <w:shd w:val="clear" w:color="auto" w:fill="FFFFFF"/>
          <w:lang w:val="en-US" w:eastAsia="zh-CN"/>
          <w14:textFill>
            <w14:solidFill>
              <w14:schemeClr w14:val="tx1"/>
            </w14:solidFill>
          </w14:textFill>
        </w:rPr>
        <w:t>落实政府不得以任何形式增加</w:t>
      </w:r>
      <w:r>
        <w:rPr>
          <w:rFonts w:hint="eastAsia" w:ascii="仿宋_GB2312" w:eastAsia="仿宋_GB2312"/>
          <w:color w:val="000000" w:themeColor="text1"/>
          <w:sz w:val="32"/>
          <w:szCs w:val="32"/>
          <w:highlight w:val="none"/>
          <w:shd w:val="clear" w:color="auto" w:fill="FFFFFF"/>
          <w:lang w:val="en-US" w:eastAsia="zh-CN"/>
          <w14:textFill>
            <w14:solidFill>
              <w14:schemeClr w14:val="tx1"/>
            </w14:solidFill>
          </w14:textFill>
        </w:rPr>
        <w:t>YX</w:t>
      </w:r>
      <w:r>
        <w:rPr>
          <w:rFonts w:ascii="仿宋_GB2312" w:eastAsia="仿宋_GB2312"/>
          <w:color w:val="000000" w:themeColor="text1"/>
          <w:sz w:val="32"/>
          <w:szCs w:val="32"/>
          <w:highlight w:val="none"/>
          <w:shd w:val="clear" w:color="auto" w:fill="FFFFFF"/>
          <w:lang w:val="en-US" w:eastAsia="zh-CN"/>
          <w14:textFill>
            <w14:solidFill>
              <w14:schemeClr w14:val="tx1"/>
            </w14:solidFill>
          </w14:textFill>
        </w:rPr>
        <w:t>债务的要求，决不通过新增</w:t>
      </w:r>
      <w:r>
        <w:rPr>
          <w:rFonts w:hint="eastAsia" w:ascii="仿宋_GB2312" w:eastAsia="仿宋_GB2312"/>
          <w:color w:val="000000" w:themeColor="text1"/>
          <w:sz w:val="32"/>
          <w:szCs w:val="32"/>
          <w:highlight w:val="none"/>
          <w:shd w:val="clear" w:color="auto" w:fill="FFFFFF"/>
          <w:lang w:val="en-US" w:eastAsia="zh-CN"/>
          <w14:textFill>
            <w14:solidFill>
              <w14:schemeClr w14:val="tx1"/>
            </w14:solidFill>
          </w14:textFill>
        </w:rPr>
        <w:t>YX</w:t>
      </w:r>
      <w:r>
        <w:rPr>
          <w:rFonts w:ascii="仿宋_GB2312" w:eastAsia="仿宋_GB2312"/>
          <w:color w:val="000000" w:themeColor="text1"/>
          <w:sz w:val="32"/>
          <w:szCs w:val="32"/>
          <w:highlight w:val="none"/>
          <w:shd w:val="clear" w:color="auto" w:fill="FFFFFF"/>
          <w:lang w:val="en-US" w:eastAsia="zh-CN"/>
          <w14:textFill>
            <w14:solidFill>
              <w14:schemeClr w14:val="tx1"/>
            </w14:solidFill>
          </w14:textFill>
        </w:rPr>
        <w:t>债务上新项目、铺新摊子</w:t>
      </w:r>
      <w:r>
        <w:rPr>
          <w:rFonts w:hint="default" w:ascii="仿宋_GB2312" w:eastAsia="仿宋_GB2312"/>
          <w:color w:val="000000" w:themeColor="text1"/>
          <w:sz w:val="32"/>
          <w:szCs w:val="32"/>
          <w:highlight w:val="none"/>
          <w:shd w:val="clear" w:color="auto" w:fill="FFFFFF"/>
          <w:lang w:val="en-US" w:eastAsia="zh-CN"/>
          <w14:textFill>
            <w14:solidFill>
              <w14:schemeClr w14:val="tx1"/>
            </w14:solidFill>
          </w14:textFill>
        </w:rPr>
        <w:t>。</w:t>
      </w:r>
      <w:r>
        <w:rPr>
          <w:rFonts w:ascii="仿宋_GB2312" w:hAnsi="仿宋_GB2312" w:eastAsia="仿宋_GB2312" w:cs="仿宋_GB2312"/>
          <w:color w:val="auto"/>
          <w:sz w:val="32"/>
          <w:szCs w:val="32"/>
          <w:highlight w:val="none"/>
        </w:rPr>
        <w:t>截止目前</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化解政府</w:t>
      </w:r>
      <w:r>
        <w:rPr>
          <w:rFonts w:hint="eastAsia" w:ascii="仿宋_GB2312" w:hAnsi="仿宋_GB2312" w:eastAsia="仿宋_GB2312" w:cs="仿宋_GB2312"/>
          <w:color w:val="auto"/>
          <w:sz w:val="32"/>
          <w:szCs w:val="32"/>
          <w:highlight w:val="none"/>
          <w:lang w:val="en-US" w:eastAsia="zh-CN"/>
        </w:rPr>
        <w:t>YX</w:t>
      </w:r>
      <w:r>
        <w:rPr>
          <w:rFonts w:ascii="仿宋_GB2312" w:hAnsi="仿宋_GB2312" w:eastAsia="仿宋_GB2312" w:cs="仿宋_GB2312"/>
          <w:color w:val="auto"/>
          <w:sz w:val="32"/>
          <w:szCs w:val="32"/>
          <w:highlight w:val="none"/>
        </w:rPr>
        <w:t>债务本息共计</w:t>
      </w:r>
      <w:r>
        <w:rPr>
          <w:rFonts w:hint="eastAsia" w:ascii="仿宋_GB2312" w:hAnsi="仿宋_GB2312" w:eastAsia="仿宋_GB2312" w:cs="仿宋_GB2312"/>
          <w:color w:val="auto"/>
          <w:sz w:val="32"/>
          <w:szCs w:val="32"/>
          <w:highlight w:val="none"/>
          <w:lang w:val="en-US" w:eastAsia="zh-CN"/>
        </w:rPr>
        <w:t>703.6</w:t>
      </w:r>
      <w:r>
        <w:rPr>
          <w:rFonts w:ascii="仿宋_GB2312" w:hAnsi="仿宋_GB2312" w:eastAsia="仿宋_GB2312" w:cs="仿宋_GB2312"/>
          <w:color w:val="auto"/>
          <w:sz w:val="32"/>
          <w:szCs w:val="32"/>
          <w:highlight w:val="none"/>
        </w:rPr>
        <w:t>万元，</w:t>
      </w:r>
      <w:r>
        <w:rPr>
          <w:rFonts w:hint="eastAsia" w:ascii="仿宋_GB2312" w:hAnsi="仿宋_GB2312" w:eastAsia="仿宋_GB2312" w:cs="仿宋_GB2312"/>
          <w:b w:val="0"/>
          <w:bCs w:val="0"/>
          <w:sz w:val="32"/>
          <w:szCs w:val="32"/>
          <w:highlight w:val="none"/>
          <w:lang w:val="en-US" w:eastAsia="zh-CN"/>
        </w:rPr>
        <w:t>YX债务已实现清零，</w:t>
      </w:r>
      <w:r>
        <w:rPr>
          <w:rFonts w:hint="eastAsia" w:ascii="仿宋_GB2312" w:hAnsi="仿宋_GB2312" w:eastAsia="仿宋_GB2312" w:cs="仿宋_GB2312"/>
          <w:sz w:val="32"/>
          <w:szCs w:val="32"/>
          <w:highlight w:val="none"/>
          <w:lang w:val="en-US" w:eastAsia="zh-CN"/>
        </w:rPr>
        <w:t>剩余786.3万元，属于粮食和供销企业</w:t>
      </w:r>
      <w:r>
        <w:rPr>
          <w:rFonts w:hint="eastAsia" w:ascii="仿宋_GB2312" w:hAnsi="仿宋_GB2312" w:eastAsia="仿宋_GB2312" w:cs="仿宋_GB2312"/>
          <w:sz w:val="32"/>
          <w:szCs w:val="32"/>
          <w:highlight w:val="none"/>
        </w:rPr>
        <w:t>政策性挂账</w:t>
      </w:r>
      <w:r>
        <w:rPr>
          <w:rFonts w:hint="eastAsia" w:ascii="仿宋_GB2312" w:hAnsi="仿宋_GB2312" w:eastAsia="仿宋_GB2312" w:cs="仿宋_GB2312"/>
          <w:sz w:val="32"/>
          <w:szCs w:val="32"/>
          <w:highlight w:val="none"/>
          <w:lang w:eastAsia="zh-CN"/>
        </w:rPr>
        <w:t>部分，待有政策后及时进行化解</w:t>
      </w:r>
      <w:r>
        <w:rPr>
          <w:rFonts w:ascii="仿宋_GB2312" w:eastAsia="仿宋_GB2312"/>
          <w:color w:val="000000" w:themeColor="text1"/>
          <w:sz w:val="32"/>
          <w:szCs w:val="32"/>
          <w:highlight w:val="none"/>
          <w:shd w:val="clear" w:color="auto" w:fill="FFFFFF"/>
          <w:lang w:val="en-US" w:eastAsia="zh-CN"/>
          <w14:textFill>
            <w14:solidFill>
              <w14:schemeClr w14:val="tx1"/>
            </w14:solidFill>
          </w14:textFill>
        </w:rPr>
        <w:t>。</w:t>
      </w:r>
      <w:r>
        <w:rPr>
          <w:rFonts w:ascii="仿宋_GB2312" w:eastAsia="仿宋_GB2312"/>
          <w:b/>
          <w:bCs/>
          <w:color w:val="000000" w:themeColor="text1"/>
          <w:sz w:val="32"/>
          <w:szCs w:val="32"/>
          <w:highlight w:val="none"/>
          <w:shd w:val="clear" w:color="auto" w:fill="FFFFFF"/>
          <w:lang w:val="en-US" w:eastAsia="zh-CN"/>
          <w14:textFill>
            <w14:solidFill>
              <w14:schemeClr w14:val="tx1"/>
            </w14:solidFill>
          </w14:textFill>
        </w:rPr>
        <w:t>二是</w:t>
      </w:r>
      <w:r>
        <w:rPr>
          <w:rFonts w:hint="eastAsia" w:ascii="仿宋_GB2312" w:hAnsi="仿宋_GB2312" w:eastAsia="仿宋_GB2312" w:cs="仿宋_GB2312"/>
          <w:b/>
          <w:bCs w:val="0"/>
          <w:color w:val="000000" w:themeColor="text1"/>
          <w:sz w:val="32"/>
          <w:szCs w:val="32"/>
          <w:highlight w:val="none"/>
          <w14:textFill>
            <w14:solidFill>
              <w14:schemeClr w14:val="tx1"/>
            </w14:solidFill>
          </w14:textFill>
        </w:rPr>
        <w:t>健全</w:t>
      </w:r>
      <w:r>
        <w:rPr>
          <w:rFonts w:ascii="仿宋_GB2312" w:hAnsi="仿宋_GB2312" w:eastAsia="仿宋_GB2312" w:cs="仿宋_GB2312"/>
          <w:b/>
          <w:bCs w:val="0"/>
          <w:color w:val="000000" w:themeColor="text1"/>
          <w:sz w:val="32"/>
          <w:szCs w:val="32"/>
          <w:highlight w:val="none"/>
          <w14:textFill>
            <w14:solidFill>
              <w14:schemeClr w14:val="tx1"/>
            </w14:solidFill>
          </w14:textFill>
        </w:rPr>
        <w:t>政府债务管理和风险防控长效机制</w:t>
      </w:r>
      <w:r>
        <w:rPr>
          <w:rFonts w:hint="eastAsia" w:ascii="仿宋_GB2312" w:hAnsi="仿宋_GB2312" w:eastAsia="仿宋_GB2312" w:cs="仿宋_GB2312"/>
          <w:b/>
          <w:bCs w:val="0"/>
          <w:color w:val="000000" w:themeColor="text1"/>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sz w:val="32"/>
          <w:szCs w:val="32"/>
          <w:highlight w:val="none"/>
          <w14:textFill>
            <w14:solidFill>
              <w14:schemeClr w14:val="tx1"/>
            </w14:solidFill>
          </w14:textFill>
        </w:rPr>
        <w:t>积极防范化解政府性债务风险，确保政府债务风险总体可控</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default" w:ascii="仿宋_GB2312" w:eastAsia="仿宋_GB2312"/>
          <w:color w:val="000000" w:themeColor="text1"/>
          <w:sz w:val="32"/>
          <w:szCs w:val="32"/>
          <w:highlight w:val="none"/>
          <w:shd w:val="clear" w:color="auto" w:fill="FFFFFF"/>
          <w:lang w:val="en-US" w:eastAsia="zh-CN"/>
          <w14:textFill>
            <w14:solidFill>
              <w14:schemeClr w14:val="tx1"/>
            </w14:solidFill>
          </w14:textFill>
        </w:rPr>
        <w:t>严格把关审核政府</w:t>
      </w:r>
      <w:r>
        <w:rPr>
          <w:rFonts w:hint="eastAsia" w:ascii="仿宋_GB2312" w:eastAsia="仿宋_GB2312"/>
          <w:color w:val="000000" w:themeColor="text1"/>
          <w:sz w:val="32"/>
          <w:szCs w:val="32"/>
          <w:highlight w:val="none"/>
          <w:shd w:val="clear" w:color="auto" w:fill="FFFFFF"/>
          <w:lang w:val="en-US" w:eastAsia="zh-CN"/>
          <w14:textFill>
            <w14:solidFill>
              <w14:schemeClr w14:val="tx1"/>
            </w14:solidFill>
          </w14:textFill>
        </w:rPr>
        <w:t>YX</w:t>
      </w:r>
      <w:r>
        <w:rPr>
          <w:rFonts w:hint="default" w:ascii="仿宋_GB2312" w:eastAsia="仿宋_GB2312"/>
          <w:color w:val="000000" w:themeColor="text1"/>
          <w:sz w:val="32"/>
          <w:szCs w:val="32"/>
          <w:highlight w:val="none"/>
          <w:shd w:val="clear" w:color="auto" w:fill="FFFFFF"/>
          <w:lang w:val="en-US" w:eastAsia="zh-CN"/>
          <w14:textFill>
            <w14:solidFill>
              <w14:schemeClr w14:val="tx1"/>
            </w14:solidFill>
          </w14:textFill>
        </w:rPr>
        <w:t>债务化解资料的规范性和真实性，压实债务部门主体责任，通过压减各项支出，统筹财力安排，同时加大资产处置力度，加快国有土地、矿产资源等资产出让、出租或出售多渠道筹措资金偿还债务。</w:t>
      </w:r>
      <w:r>
        <w:rPr>
          <w:rFonts w:hint="eastAsia" w:ascii="仿宋_GB2312" w:hAnsi="仿宋_GB2312" w:eastAsia="仿宋_GB2312" w:cs="仿宋_GB2312"/>
          <w:sz w:val="32"/>
          <w:szCs w:val="32"/>
          <w:highlight w:val="none"/>
          <w:lang w:val="en-US" w:eastAsia="zh-CN"/>
        </w:rPr>
        <w:t>截至目前，</w:t>
      </w:r>
      <w:r>
        <w:rPr>
          <w:rFonts w:hint="eastAsia" w:ascii="仿宋_GB2312" w:eastAsia="仿宋_GB2312" w:cs="仿宋_GB2312"/>
          <w:color w:val="auto"/>
          <w:sz w:val="32"/>
          <w:szCs w:val="32"/>
          <w:highlight w:val="none"/>
        </w:rPr>
        <w:t>省财政厅批准我县政府债务限额</w:t>
      </w:r>
      <w:r>
        <w:rPr>
          <w:rFonts w:hint="eastAsia" w:ascii="仿宋_GB2312" w:eastAsia="仿宋_GB2312" w:cs="仿宋_GB2312"/>
          <w:color w:val="auto"/>
          <w:sz w:val="32"/>
          <w:szCs w:val="32"/>
          <w:highlight w:val="none"/>
          <w:lang w:val="en-US" w:eastAsia="zh-CN"/>
        </w:rPr>
        <w:t>165286万</w:t>
      </w:r>
      <w:r>
        <w:rPr>
          <w:rFonts w:hint="eastAsia" w:ascii="仿宋_GB2312" w:eastAsia="仿宋_GB2312" w:cs="仿宋_GB2312"/>
          <w:color w:val="auto"/>
          <w:sz w:val="32"/>
          <w:szCs w:val="32"/>
          <w:highlight w:val="none"/>
        </w:rPr>
        <w:t>元。</w:t>
      </w:r>
      <w:r>
        <w:rPr>
          <w:rFonts w:hint="eastAsia" w:ascii="仿宋_GB2312" w:hAnsi="仿宋_GB2312" w:eastAsia="仿宋_GB2312" w:cs="仿宋_GB2312"/>
          <w:sz w:val="32"/>
          <w:szCs w:val="32"/>
          <w:highlight w:val="none"/>
        </w:rPr>
        <w:t>我县</w:t>
      </w:r>
      <w:r>
        <w:rPr>
          <w:rFonts w:hint="eastAsia" w:ascii="仿宋_GB2312" w:hAnsi="仿宋_GB2312" w:eastAsia="仿宋_GB2312" w:cs="仿宋_GB2312"/>
          <w:sz w:val="32"/>
          <w:szCs w:val="32"/>
          <w:highlight w:val="none"/>
          <w:lang w:eastAsia="zh-CN"/>
        </w:rPr>
        <w:t>地方</w:t>
      </w:r>
      <w:r>
        <w:rPr>
          <w:rFonts w:hint="eastAsia" w:ascii="仿宋_GB2312" w:hAnsi="仿宋_GB2312" w:eastAsia="仿宋_GB2312" w:cs="仿宋_GB2312"/>
          <w:sz w:val="32"/>
          <w:szCs w:val="32"/>
          <w:highlight w:val="none"/>
        </w:rPr>
        <w:t>政府性债务余额为</w:t>
      </w:r>
      <w:r>
        <w:rPr>
          <w:rFonts w:hint="eastAsia" w:ascii="仿宋_GB2312" w:hAnsi="仿宋_GB2312" w:eastAsia="仿宋_GB2312" w:cs="仿宋_GB2312"/>
          <w:sz w:val="32"/>
          <w:szCs w:val="32"/>
          <w:highlight w:val="none"/>
          <w:lang w:val="en-US" w:eastAsia="zh-CN"/>
        </w:rPr>
        <w:t>162594万</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其中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政府债务</w:t>
      </w:r>
      <w:r>
        <w:rPr>
          <w:rFonts w:hint="eastAsia" w:ascii="仿宋_GB2312" w:hAnsi="仿宋_GB2312" w:eastAsia="仿宋_GB2312" w:cs="仿宋_GB2312"/>
          <w:sz w:val="32"/>
          <w:szCs w:val="32"/>
          <w:highlight w:val="none"/>
          <w:lang w:val="en-US" w:eastAsia="zh-CN"/>
        </w:rPr>
        <w:t>159311</w:t>
      </w:r>
      <w:r>
        <w:rPr>
          <w:rFonts w:hint="eastAsia" w:ascii="仿宋_GB2312" w:hAnsi="仿宋_GB2312" w:eastAsia="仿宋_GB2312" w:cs="仿宋_GB2312"/>
          <w:sz w:val="32"/>
          <w:szCs w:val="32"/>
          <w:highlight w:val="none"/>
          <w:lang w:eastAsia="zh-CN"/>
        </w:rPr>
        <w:t>万</w:t>
      </w:r>
      <w:r>
        <w:rPr>
          <w:rFonts w:hint="eastAsia" w:ascii="仿宋_GB2312" w:hAnsi="仿宋_GB2312" w:eastAsia="仿宋_GB2312" w:cs="仿宋_GB2312"/>
          <w:sz w:val="32"/>
          <w:szCs w:val="32"/>
          <w:highlight w:val="none"/>
        </w:rPr>
        <w:t>元（一般债务</w:t>
      </w:r>
      <w:r>
        <w:rPr>
          <w:rFonts w:hint="eastAsia" w:ascii="仿宋_GB2312" w:hAnsi="仿宋_GB2312" w:eastAsia="仿宋_GB2312" w:cs="仿宋_GB2312"/>
          <w:sz w:val="32"/>
          <w:szCs w:val="32"/>
          <w:highlight w:val="none"/>
          <w:lang w:val="en-US" w:eastAsia="zh-CN"/>
        </w:rPr>
        <w:t>55511万元</w:t>
      </w:r>
      <w:r>
        <w:rPr>
          <w:rFonts w:hint="eastAsia" w:ascii="仿宋_GB2312" w:hAnsi="仿宋_GB2312" w:eastAsia="仿宋_GB2312" w:cs="仿宋_GB2312"/>
          <w:sz w:val="32"/>
          <w:szCs w:val="32"/>
          <w:highlight w:val="none"/>
        </w:rPr>
        <w:t>，专项债务</w:t>
      </w:r>
      <w:r>
        <w:rPr>
          <w:rFonts w:hint="eastAsia" w:ascii="仿宋_GB2312" w:hAnsi="仿宋_GB2312" w:eastAsia="仿宋_GB2312" w:cs="仿宋_GB2312"/>
          <w:sz w:val="32"/>
          <w:szCs w:val="32"/>
          <w:highlight w:val="none"/>
          <w:lang w:val="en-US" w:eastAsia="zh-CN"/>
        </w:rPr>
        <w:t>103800万</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政府或有债务</w:t>
      </w:r>
      <w:r>
        <w:rPr>
          <w:rFonts w:hint="eastAsia" w:ascii="仿宋_GB2312" w:hAnsi="仿宋_GB2312" w:eastAsia="仿宋_GB2312" w:cs="仿宋_GB2312"/>
          <w:sz w:val="32"/>
          <w:szCs w:val="32"/>
          <w:highlight w:val="none"/>
          <w:lang w:val="en-US" w:eastAsia="zh-CN"/>
        </w:rPr>
        <w:t>3283万</w:t>
      </w:r>
      <w:r>
        <w:rPr>
          <w:rFonts w:hint="eastAsia" w:ascii="仿宋_GB2312" w:hAnsi="仿宋_GB2312" w:eastAsia="仿宋_GB2312" w:cs="仿宋_GB2312"/>
          <w:sz w:val="32"/>
          <w:szCs w:val="32"/>
          <w:highlight w:val="none"/>
        </w:rPr>
        <w:t>元。甘肃省财政厅评定</w:t>
      </w:r>
      <w:r>
        <w:rPr>
          <w:rFonts w:hint="eastAsia" w:ascii="仿宋_GB2312" w:hAnsi="仿宋_GB2312" w:eastAsia="仿宋_GB2312" w:cs="仿宋_GB2312"/>
          <w:sz w:val="32"/>
          <w:szCs w:val="32"/>
          <w:highlight w:val="none"/>
          <w:lang w:eastAsia="zh-CN"/>
        </w:rPr>
        <w:t>我县</w:t>
      </w:r>
      <w:r>
        <w:rPr>
          <w:rFonts w:hint="eastAsia" w:ascii="仿宋_GB2312" w:hAnsi="仿宋_GB2312" w:eastAsia="仿宋_GB2312" w:cs="仿宋_GB2312"/>
          <w:sz w:val="32"/>
          <w:szCs w:val="32"/>
          <w:highlight w:val="none"/>
        </w:rPr>
        <w:t>政府债务率为</w:t>
      </w:r>
      <w:r>
        <w:rPr>
          <w:rFonts w:hint="eastAsia" w:ascii="仿宋_GB2312" w:hAnsi="仿宋_GB2312" w:eastAsia="仿宋_GB2312" w:cs="仿宋_GB2312"/>
          <w:sz w:val="32"/>
          <w:szCs w:val="32"/>
          <w:highlight w:val="none"/>
          <w:lang w:val="en-US" w:eastAsia="zh-CN"/>
        </w:rPr>
        <w:t>51</w:t>
      </w:r>
      <w:r>
        <w:rPr>
          <w:rFonts w:hint="eastAsia" w:ascii="仿宋_GB2312" w:hAnsi="仿宋_GB2312" w:eastAsia="仿宋_GB2312" w:cs="仿宋_GB2312"/>
          <w:sz w:val="32"/>
          <w:szCs w:val="32"/>
          <w:highlight w:val="none"/>
        </w:rPr>
        <w:t>%，风险等级为绿色</w:t>
      </w:r>
      <w:r>
        <w:rPr>
          <w:rFonts w:hint="eastAsia" w:ascii="仿宋_GB2312" w:hAnsi="仿宋_GB2312" w:eastAsia="仿宋_GB2312" w:cs="仿宋_GB2312"/>
          <w:sz w:val="32"/>
          <w:szCs w:val="32"/>
          <w:highlight w:val="none"/>
          <w:lang w:eastAsia="zh-CN"/>
        </w:rPr>
        <w:t>等级</w:t>
      </w:r>
      <w:r>
        <w:rPr>
          <w:rFonts w:hint="eastAsia" w:ascii="仿宋_GB2312" w:hAnsi="仿宋_GB2312" w:eastAsia="仿宋_GB2312" w:cs="仿宋_GB2312"/>
          <w:sz w:val="32"/>
          <w:szCs w:val="32"/>
          <w:highlight w:val="none"/>
        </w:rPr>
        <w:t>，属政府债务风险正常地区。</w:t>
      </w:r>
      <w:r>
        <w:rPr>
          <w:rFonts w:hint="eastAsia" w:ascii="仿宋_GB2312" w:eastAsia="仿宋_GB2312"/>
          <w:b/>
          <w:bCs/>
          <w:color w:val="000000" w:themeColor="text1"/>
          <w:sz w:val="32"/>
          <w:szCs w:val="32"/>
          <w:highlight w:val="none"/>
          <w:shd w:val="clear" w:color="auto" w:fill="FFFFFF"/>
          <w:lang w:val="en-US" w:eastAsia="zh-CN"/>
          <w14:textFill>
            <w14:solidFill>
              <w14:schemeClr w14:val="tx1"/>
            </w14:solidFill>
          </w14:textFill>
        </w:rPr>
        <w:t>三是抢抓政策机遇，争取国债资金。</w:t>
      </w:r>
      <w:r>
        <w:rPr>
          <w:rFonts w:hint="eastAsia" w:ascii="仿宋_GB2312" w:hAnsi="仿宋_GB2312" w:eastAsia="仿宋_GB2312" w:cs="仿宋_GB2312"/>
          <w:color w:val="auto"/>
          <w:sz w:val="32"/>
          <w:szCs w:val="32"/>
          <w:highlight w:val="none"/>
          <w:lang w:val="en-US" w:eastAsia="zh-CN"/>
        </w:rPr>
        <w:t>到位2476万元的超长期特别国债，专项用于供水设施改造建设资金和大规模设备更新及消费品以旧换新。</w:t>
      </w:r>
      <w:r>
        <w:rPr>
          <w:rFonts w:hint="eastAsia" w:ascii="仿宋_GB2312" w:eastAsia="仿宋_GB2312"/>
          <w:b/>
          <w:bCs/>
          <w:color w:val="000000" w:themeColor="text1"/>
          <w:sz w:val="32"/>
          <w:szCs w:val="32"/>
          <w:highlight w:val="none"/>
          <w:shd w:val="clear" w:color="auto" w:fill="FFFFFF"/>
          <w:lang w:val="en-US" w:eastAsia="zh-CN"/>
          <w14:textFill>
            <w14:solidFill>
              <w14:schemeClr w14:val="tx1"/>
            </w14:solidFill>
          </w14:textFill>
        </w:rPr>
        <w:t>四是加强对全县预算单位的账户监管。</w:t>
      </w:r>
      <w:r>
        <w:rPr>
          <w:rFonts w:hint="eastAsia" w:ascii="仿宋_GB2312" w:eastAsia="仿宋_GB2312"/>
          <w:sz w:val="32"/>
          <w:szCs w:val="32"/>
          <w:highlight w:val="none"/>
          <w:lang w:val="en-US" w:eastAsia="zh-CN"/>
        </w:rPr>
        <w:t>定期对全县123个预算单位的334个</w:t>
      </w:r>
      <w:r>
        <w:rPr>
          <w:rFonts w:hint="eastAsia" w:ascii="仿宋_GB2312" w:eastAsia="仿宋_GB2312"/>
          <w:sz w:val="32"/>
          <w:szCs w:val="32"/>
          <w:highlight w:val="none"/>
        </w:rPr>
        <w:t>账户</w:t>
      </w:r>
      <w:r>
        <w:rPr>
          <w:rFonts w:hint="eastAsia" w:ascii="仿宋_GB2312" w:eastAsia="仿宋_GB2312"/>
          <w:sz w:val="32"/>
          <w:szCs w:val="32"/>
          <w:highlight w:val="none"/>
          <w:lang w:eastAsia="zh-CN"/>
        </w:rPr>
        <w:t>进行</w:t>
      </w:r>
      <w:r>
        <w:rPr>
          <w:rFonts w:hint="eastAsia" w:ascii="仿宋_GB2312" w:eastAsia="仿宋_GB2312"/>
          <w:sz w:val="32"/>
          <w:szCs w:val="32"/>
          <w:highlight w:val="none"/>
        </w:rPr>
        <w:t>年检及清查工作，下发整改通知，并督促单位完成整改，对不合规及不使用的账户进行销户处理</w:t>
      </w:r>
      <w:r>
        <w:rPr>
          <w:rFonts w:hint="eastAsia" w:ascii="仿宋_GB2312" w:eastAsia="仿宋_GB2312"/>
          <w:sz w:val="32"/>
          <w:szCs w:val="32"/>
          <w:highlight w:val="none"/>
          <w:lang w:eastAsia="zh-CN"/>
        </w:rPr>
        <w:t>。</w:t>
      </w:r>
    </w:p>
    <w:p w14:paraId="18ED342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Calibri" w:eastAsia="仿宋_GB2312" w:cs="仿宋_GB2312"/>
          <w:b w:val="0"/>
          <w:bCs w:val="0"/>
          <w:kern w:val="2"/>
          <w:sz w:val="32"/>
          <w:szCs w:val="32"/>
          <w:highlight w:val="none"/>
          <w:lang w:val="en-US" w:eastAsia="zh-CN" w:bidi="ar"/>
        </w:rPr>
      </w:pPr>
      <w:r>
        <w:rPr>
          <w:rFonts w:hint="eastAsia" w:ascii="楷体_GB2312" w:eastAsia="楷体_GB2312" w:cs="仿宋_GB2312"/>
          <w:b/>
          <w:color w:val="000000" w:themeColor="text1"/>
          <w:sz w:val="32"/>
          <w:szCs w:val="32"/>
          <w:highlight w:val="none"/>
          <w:lang w:val="en-US" w:eastAsia="zh-CN"/>
          <w14:textFill>
            <w14:solidFill>
              <w14:schemeClr w14:val="tx1"/>
            </w14:solidFill>
          </w14:textFill>
        </w:rPr>
        <w:t>4.</w:t>
      </w:r>
      <w:r>
        <w:rPr>
          <w:rFonts w:hint="eastAsia" w:ascii="楷体_GB2312" w:eastAsia="楷体_GB2312" w:cs="仿宋_GB2312"/>
          <w:b/>
          <w:color w:val="000000" w:themeColor="text1"/>
          <w:sz w:val="32"/>
          <w:szCs w:val="32"/>
          <w:highlight w:val="none"/>
          <w14:textFill>
            <w14:solidFill>
              <w14:schemeClr w14:val="tx1"/>
            </w14:solidFill>
          </w14:textFill>
        </w:rPr>
        <w:t>坚决加快“改”的步伐，理财水平不断提升。</w:t>
      </w:r>
      <w:r>
        <w:rPr>
          <w:rFonts w:hint="eastAsia" w:ascii="仿宋_GB2312" w:eastAsia="仿宋_GB2312" w:cs="仿宋_GB2312"/>
          <w:b/>
          <w:bCs/>
          <w:color w:val="000000" w:themeColor="text1"/>
          <w:sz w:val="32"/>
          <w:szCs w:val="32"/>
          <w:highlight w:val="none"/>
          <w14:textFill>
            <w14:solidFill>
              <w14:schemeClr w14:val="tx1"/>
            </w14:solidFill>
          </w14:textFill>
        </w:rPr>
        <w:t>一是全面落实预算管理一体化建设。</w:t>
      </w:r>
      <w:r>
        <w:rPr>
          <w:rFonts w:hint="eastAsia" w:ascii="仿宋_GB2312" w:eastAsia="仿宋_GB2312" w:cs="仿宋_GB2312"/>
          <w:color w:val="000000" w:themeColor="text1"/>
          <w:sz w:val="32"/>
          <w:szCs w:val="32"/>
          <w:highlight w:val="none"/>
          <w14:textFill>
            <w14:solidFill>
              <w14:schemeClr w14:val="tx1"/>
            </w14:solidFill>
          </w14:textFill>
        </w:rPr>
        <w:t>全面推进预算管理一体化改革，以系统化思维和信息化手段推进预算管理工作，实现政府预算管理、部门预算管理、预算全过程管理、预算项目全生命周期管理和预算数据统一管理的五个“一体化”工作目标，全面提升了全县财政预算管理规范化、标准化水平。</w:t>
      </w:r>
      <w:r>
        <w:rPr>
          <w:rFonts w:hint="eastAsia" w:ascii="仿宋_GB2312" w:eastAsia="仿宋_GB2312" w:cs="仿宋_GB2312"/>
          <w:b/>
          <w:bCs/>
          <w:color w:val="000000" w:themeColor="text1"/>
          <w:sz w:val="32"/>
          <w:szCs w:val="32"/>
          <w:highlight w:val="none"/>
          <w14:textFill>
            <w14:solidFill>
              <w14:schemeClr w14:val="tx1"/>
            </w14:solidFill>
          </w14:textFill>
        </w:rPr>
        <w:t>二是强化直达资金管理机制。</w:t>
      </w:r>
      <w:r>
        <w:rPr>
          <w:rFonts w:hint="eastAsia" w:ascii="仿宋_GB2312" w:eastAsia="仿宋_GB2312" w:cs="仿宋_GB2312"/>
          <w:color w:val="000000" w:themeColor="text1"/>
          <w:sz w:val="32"/>
          <w:szCs w:val="32"/>
          <w:highlight w:val="none"/>
          <w14:textFill>
            <w14:solidFill>
              <w14:schemeClr w14:val="tx1"/>
            </w14:solidFill>
          </w14:textFill>
        </w:rPr>
        <w:t>认真研究部署直达资金相关工作，细化举措，从严管理，确保直达资金用到紧要处、刀刃上，促进惠企利民政策落地见效，我县直达资金总量</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22211.73</w:t>
      </w:r>
      <w:r>
        <w:rPr>
          <w:rFonts w:hint="eastAsia" w:ascii="仿宋_GB2312" w:eastAsia="仿宋_GB2312" w:cs="仿宋_GB2312"/>
          <w:color w:val="000000" w:themeColor="text1"/>
          <w:sz w:val="32"/>
          <w:szCs w:val="32"/>
          <w:highlight w:val="none"/>
          <w14:textFill>
            <w14:solidFill>
              <w14:schemeClr w14:val="tx1"/>
            </w14:solidFill>
          </w14:textFill>
        </w:rPr>
        <w:t>万元，已支出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20971.53</w:t>
      </w:r>
      <w:r>
        <w:rPr>
          <w:rFonts w:hint="eastAsia" w:ascii="仿宋_GB2312" w:eastAsia="仿宋_GB2312" w:cs="仿宋_GB2312"/>
          <w:color w:val="000000" w:themeColor="text1"/>
          <w:sz w:val="32"/>
          <w:szCs w:val="32"/>
          <w:highlight w:val="none"/>
          <w14:textFill>
            <w14:solidFill>
              <w14:schemeClr w14:val="tx1"/>
            </w14:solidFill>
          </w14:textFill>
        </w:rPr>
        <w:t>万元，执行进度为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94.42</w:t>
      </w:r>
      <w:r>
        <w:rPr>
          <w:rFonts w:hint="eastAsia"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b/>
          <w:bCs/>
          <w:color w:val="000000" w:themeColor="text1"/>
          <w:sz w:val="32"/>
          <w:szCs w:val="32"/>
          <w:highlight w:val="none"/>
          <w14:textFill>
            <w14:solidFill>
              <w14:schemeClr w14:val="tx1"/>
            </w14:solidFill>
          </w14:textFill>
        </w:rPr>
        <w:t>三是深化政府采购改革。</w:t>
      </w:r>
      <w:r>
        <w:rPr>
          <w:rFonts w:hint="eastAsia" w:ascii="仿宋_GB2312" w:eastAsia="仿宋_GB2312"/>
          <w:color w:val="000000" w:themeColor="text1"/>
          <w:sz w:val="32"/>
          <w:szCs w:val="32"/>
          <w:highlight w:val="none"/>
          <w:shd w:val="clear" w:color="auto" w:fill="FFFFFF"/>
          <w:lang w:val="en-US" w:eastAsia="zh-CN"/>
          <w14:textFill>
            <w14:solidFill>
              <w14:schemeClr w14:val="tx1"/>
            </w14:solidFill>
          </w14:textFill>
        </w:rPr>
        <w:t>以优化营商环境为抓手，采取了一系列有效措施促进公平竞争和中小企业发展。不断完善政府采购相关制度，精简审批环节，推行“网上申报、网上审批、网上备案”的便捷流程，减少了不必要的材料提交，提高了采购效率和服务质量，加强采购监管力度，全面落实政府采购主体责任，为优化营商环境、促进经济发展贡献力量。全年计划采购金额12137.21万元，实际采购金额10493.95万元，节约资金1643.26万元，资金节约率13.54%。</w:t>
      </w:r>
      <w:r>
        <w:rPr>
          <w:rFonts w:hint="eastAsia" w:ascii="仿宋_GB2312" w:eastAsia="仿宋_GB2312" w:cs="仿宋_GB2312"/>
          <w:b/>
          <w:bCs/>
          <w:color w:val="000000" w:themeColor="text1"/>
          <w:sz w:val="32"/>
          <w:szCs w:val="32"/>
          <w:highlight w:val="none"/>
          <w14:textFill>
            <w14:solidFill>
              <w14:schemeClr w14:val="tx1"/>
            </w14:solidFill>
          </w14:textFill>
        </w:rPr>
        <w:t>四是深化</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国有企业改革。</w:t>
      </w:r>
      <w:r>
        <w:rPr>
          <w:rFonts w:hint="eastAsia" w:ascii="仿宋_GB2312" w:eastAsia="仿宋_GB2312" w:cs="仿宋_GB2312"/>
          <w:sz w:val="32"/>
          <w:szCs w:val="32"/>
          <w:highlight w:val="none"/>
          <w:lang w:val="en-US" w:eastAsia="zh-CN"/>
        </w:rPr>
        <w:t>制定下发了《肃南县国有企业改革深化提升行动实施方案（2023-2025年）》和《肃南裕固族自治县祁源投资发展有限公司组建方案》，突出高质量发展这个首要任务，以增强企业核心功能、提高企业核心竞争力为重点，通过改革力求达到国企实力明显提升、资产配置更为合理、市场功能更加彰显、监管体制日趋完善的目的。</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五</w:t>
      </w:r>
      <w:r>
        <w:rPr>
          <w:rFonts w:hint="eastAsia" w:ascii="仿宋_GB2312" w:eastAsia="仿宋_GB2312" w:cs="仿宋_GB2312"/>
          <w:b/>
          <w:bCs/>
          <w:color w:val="000000" w:themeColor="text1"/>
          <w:sz w:val="32"/>
          <w:szCs w:val="32"/>
          <w:highlight w:val="none"/>
          <w14:textFill>
            <w14:solidFill>
              <w14:schemeClr w14:val="tx1"/>
            </w14:solidFill>
          </w14:textFill>
        </w:rPr>
        <w:t>是</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夯实国有资产管理</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w:t>
      </w:r>
      <w:r>
        <w:rPr>
          <w:rFonts w:hint="eastAsia" w:ascii="仿宋_GB2312" w:eastAsia="仿宋_GB2312" w:cs="仿宋_GB2312"/>
          <w:sz w:val="32"/>
          <w:szCs w:val="32"/>
          <w:highlight w:val="none"/>
          <w:lang w:val="en-US" w:eastAsia="zh-CN"/>
        </w:rPr>
        <w:t>制定下发《肃南县“财政+行政事业性国有资产”工作方案》、《肃南县盘活行政事业单位国有资产工作方案》，全面完整准确掌握全县行政事业性国有资产“家底”，积极推动资产确权登记，多措并举盘活资产，稳妥有序推进集中运营，强化行政事业性国有资产全生命周期管理，健全完善管理制度体系，切实提高行政事业性国有资产治理能力和治理水平。</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六</w:t>
      </w:r>
      <w:r>
        <w:rPr>
          <w:rFonts w:hint="eastAsia" w:ascii="仿宋_GB2312" w:eastAsia="仿宋_GB2312" w:cs="仿宋_GB2312"/>
          <w:b/>
          <w:bCs/>
          <w:color w:val="000000" w:themeColor="text1"/>
          <w:sz w:val="32"/>
          <w:szCs w:val="32"/>
          <w:highlight w:val="none"/>
          <w14:textFill>
            <w14:solidFill>
              <w14:schemeClr w14:val="tx1"/>
            </w14:solidFill>
          </w14:textFill>
        </w:rPr>
        <w:t>是扎实推进预算绩效监督管理。</w:t>
      </w:r>
      <w:r>
        <w:rPr>
          <w:rFonts w:hint="eastAsia" w:ascii="仿宋_GB2312" w:eastAsia="仿宋_GB2312" w:cs="仿宋_GB2312"/>
          <w:b w:val="0"/>
          <w:bCs w:val="0"/>
          <w:kern w:val="2"/>
          <w:sz w:val="32"/>
          <w:szCs w:val="32"/>
          <w:highlight w:val="none"/>
          <w:lang w:val="en-US" w:eastAsia="zh-CN" w:bidi="ar"/>
        </w:rPr>
        <w:t>在巩固修订原有制度办法的基础上，制定完善专项资金和分行业、分领域绩效管理办法等8项制度，制度体系不断健全，出台《肃南县预算绩效管理结果应用实施细则》(肃政办发〔2024〕31号),切实将绩效管理与预算挂钩、与奖惩挂钩、与问责挂钩。扎实推进财政绩效评价工作，完成121个部门单位的整体支出、375个项目支出进行绩效自评，对1823个项目进行绩效监控，10个部门单位委托第三方机构开展了部门单位整体绩效评价，财政部门委托第三方机构对7个部门整体、14个项目和3个乡镇财政运行情况开展财政重点绩效评价工作，涉及资金9.69亿元，及时反馈评价结果，督促整改，形成评价、反馈、整改、提升的良性循环，提高资金使用效益</w:t>
      </w:r>
      <w:r>
        <w:rPr>
          <w:rFonts w:hint="eastAsia" w:ascii="仿宋_GB2312" w:hAnsi="仿宋_GB2312" w:eastAsia="仿宋_GB2312" w:cs="仿宋_GB2312"/>
          <w:b w:val="0"/>
          <w:bCs w:val="0"/>
          <w:kern w:val="0"/>
          <w:sz w:val="32"/>
          <w:szCs w:val="32"/>
          <w:highlight w:val="none"/>
          <w:shd w:val="clear" w:fill="FFFFFF"/>
          <w:lang w:val="en-US" w:eastAsia="zh-CN" w:bidi="ar"/>
        </w:rPr>
        <w:t>。</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七</w:t>
      </w:r>
      <w:r>
        <w:rPr>
          <w:rFonts w:hint="eastAsia" w:ascii="仿宋_GB2312" w:eastAsia="仿宋_GB2312" w:cs="仿宋_GB2312"/>
          <w:b/>
          <w:bCs/>
          <w:color w:val="000000" w:themeColor="text1"/>
          <w:sz w:val="32"/>
          <w:szCs w:val="32"/>
          <w:highlight w:val="none"/>
          <w14:textFill>
            <w14:solidFill>
              <w14:schemeClr w14:val="tx1"/>
            </w14:solidFill>
          </w14:textFill>
        </w:rPr>
        <w:t>是扛牢财会监督主责。</w:t>
      </w:r>
      <w:r>
        <w:rPr>
          <w:rFonts w:hint="default" w:ascii="仿宋_GB2312" w:hAnsi="Calibri" w:eastAsia="仿宋_GB2312" w:cs="仿宋_GB2312"/>
          <w:b w:val="0"/>
          <w:bCs w:val="0"/>
          <w:kern w:val="2"/>
          <w:sz w:val="32"/>
          <w:szCs w:val="32"/>
          <w:highlight w:val="none"/>
          <w:lang w:val="en-US" w:eastAsia="zh-CN" w:bidi="ar"/>
        </w:rPr>
        <w:t>坚决贯彻《中共中央办公厅、国务院办公厅关于进一步加强财会监督工作的意见》，全面落实财会监督职责，完善全覆盖、全监控的财会</w:t>
      </w:r>
      <w:r>
        <w:rPr>
          <w:rFonts w:hint="eastAsia" w:ascii="仿宋_GB2312" w:eastAsia="仿宋_GB2312" w:cs="仿宋_GB2312"/>
          <w:b w:val="0"/>
          <w:bCs w:val="0"/>
          <w:kern w:val="2"/>
          <w:sz w:val="32"/>
          <w:szCs w:val="32"/>
          <w:highlight w:val="none"/>
          <w:lang w:val="en-US" w:eastAsia="zh-CN" w:bidi="ar"/>
        </w:rPr>
        <w:t>“大监督”</w:t>
      </w:r>
      <w:r>
        <w:rPr>
          <w:rFonts w:hint="default" w:ascii="仿宋_GB2312" w:hAnsi="Calibri" w:eastAsia="仿宋_GB2312" w:cs="仿宋_GB2312"/>
          <w:b w:val="0"/>
          <w:bCs w:val="0"/>
          <w:kern w:val="2"/>
          <w:sz w:val="32"/>
          <w:szCs w:val="32"/>
          <w:highlight w:val="none"/>
          <w:lang w:val="en-US" w:eastAsia="zh-CN" w:bidi="ar"/>
        </w:rPr>
        <w:t>工作机制。2024年部门单位开展了内部监督检查，检查出问题17个，整改17个，上报内部监督检查报告48份。组织开展了财经纪律重点问题监督检查，对涉及</w:t>
      </w:r>
      <w:r>
        <w:rPr>
          <w:rFonts w:hint="eastAsia" w:ascii="仿宋_GB2312" w:eastAsia="仿宋_GB2312" w:cs="仿宋_GB2312"/>
          <w:b w:val="0"/>
          <w:bCs w:val="0"/>
          <w:kern w:val="2"/>
          <w:sz w:val="32"/>
          <w:szCs w:val="32"/>
          <w:highlight w:val="none"/>
          <w:lang w:val="en-US" w:eastAsia="zh-CN" w:bidi="ar"/>
        </w:rPr>
        <w:t>“</w:t>
      </w:r>
      <w:r>
        <w:rPr>
          <w:rFonts w:hint="default" w:ascii="仿宋_GB2312" w:hAnsi="Calibri" w:eastAsia="仿宋_GB2312" w:cs="仿宋_GB2312"/>
          <w:b w:val="0"/>
          <w:bCs w:val="0"/>
          <w:kern w:val="2"/>
          <w:sz w:val="32"/>
          <w:szCs w:val="32"/>
          <w:highlight w:val="none"/>
          <w:lang w:val="en-US" w:eastAsia="zh-CN" w:bidi="ar"/>
        </w:rPr>
        <w:t>违规出台财税优惠政策招商引资问题</w:t>
      </w:r>
      <w:r>
        <w:rPr>
          <w:rFonts w:hint="eastAsia" w:ascii="仿宋_GB2312" w:eastAsia="仿宋_GB2312" w:cs="仿宋_GB2312"/>
          <w:b w:val="0"/>
          <w:bCs w:val="0"/>
          <w:kern w:val="2"/>
          <w:sz w:val="32"/>
          <w:szCs w:val="32"/>
          <w:highlight w:val="none"/>
          <w:lang w:val="en-US" w:eastAsia="zh-CN" w:bidi="ar"/>
        </w:rPr>
        <w:t>”、“</w:t>
      </w:r>
      <w:r>
        <w:rPr>
          <w:rFonts w:hint="default" w:ascii="仿宋_GB2312" w:hAnsi="Calibri" w:eastAsia="仿宋_GB2312" w:cs="仿宋_GB2312"/>
          <w:b w:val="0"/>
          <w:bCs w:val="0"/>
          <w:kern w:val="2"/>
          <w:sz w:val="32"/>
          <w:szCs w:val="32"/>
          <w:highlight w:val="none"/>
          <w:lang w:val="en-US" w:eastAsia="zh-CN" w:bidi="ar"/>
        </w:rPr>
        <w:t>高标准农田建设资金使用管理问题</w:t>
      </w:r>
      <w:r>
        <w:rPr>
          <w:rFonts w:hint="eastAsia" w:ascii="仿宋_GB2312" w:eastAsia="仿宋_GB2312" w:cs="仿宋_GB2312"/>
          <w:b w:val="0"/>
          <w:bCs w:val="0"/>
          <w:kern w:val="2"/>
          <w:sz w:val="32"/>
          <w:szCs w:val="32"/>
          <w:highlight w:val="none"/>
          <w:lang w:val="en-US" w:eastAsia="zh-CN" w:bidi="ar"/>
        </w:rPr>
        <w:t>”</w:t>
      </w:r>
      <w:r>
        <w:rPr>
          <w:rFonts w:hint="default" w:ascii="仿宋_GB2312" w:hAnsi="Calibri" w:eastAsia="仿宋_GB2312" w:cs="仿宋_GB2312"/>
          <w:b w:val="0"/>
          <w:bCs w:val="0"/>
          <w:kern w:val="2"/>
          <w:sz w:val="32"/>
          <w:szCs w:val="32"/>
          <w:highlight w:val="none"/>
          <w:lang w:val="en-US" w:eastAsia="zh-CN" w:bidi="ar"/>
        </w:rPr>
        <w:t>、</w:t>
      </w:r>
      <w:r>
        <w:rPr>
          <w:rFonts w:hint="eastAsia" w:ascii="仿宋_GB2312" w:eastAsia="仿宋_GB2312" w:cs="仿宋_GB2312"/>
          <w:b w:val="0"/>
          <w:bCs w:val="0"/>
          <w:kern w:val="2"/>
          <w:sz w:val="32"/>
          <w:szCs w:val="32"/>
          <w:highlight w:val="none"/>
          <w:lang w:val="en-US" w:eastAsia="zh-CN" w:bidi="ar"/>
        </w:rPr>
        <w:t>“</w:t>
      </w:r>
      <w:r>
        <w:rPr>
          <w:rFonts w:hint="default" w:ascii="仿宋_GB2312" w:hAnsi="Calibri" w:eastAsia="仿宋_GB2312" w:cs="仿宋_GB2312"/>
          <w:b w:val="0"/>
          <w:bCs w:val="0"/>
          <w:kern w:val="2"/>
          <w:sz w:val="32"/>
          <w:szCs w:val="32"/>
          <w:highlight w:val="none"/>
          <w:lang w:val="en-US" w:eastAsia="zh-CN" w:bidi="ar"/>
        </w:rPr>
        <w:t>保障性安居工程资金使用管理问题</w:t>
      </w:r>
      <w:r>
        <w:rPr>
          <w:rFonts w:hint="eastAsia" w:ascii="仿宋_GB2312" w:eastAsia="仿宋_GB2312" w:cs="仿宋_GB2312"/>
          <w:b w:val="0"/>
          <w:bCs w:val="0"/>
          <w:kern w:val="2"/>
          <w:sz w:val="32"/>
          <w:szCs w:val="32"/>
          <w:highlight w:val="none"/>
          <w:lang w:val="en-US" w:eastAsia="zh-CN" w:bidi="ar"/>
        </w:rPr>
        <w:t>”</w:t>
      </w:r>
      <w:r>
        <w:rPr>
          <w:rFonts w:hint="default" w:ascii="仿宋_GB2312" w:hAnsi="Calibri" w:eastAsia="仿宋_GB2312" w:cs="仿宋_GB2312"/>
          <w:b w:val="0"/>
          <w:bCs w:val="0"/>
          <w:kern w:val="2"/>
          <w:sz w:val="32"/>
          <w:szCs w:val="32"/>
          <w:highlight w:val="none"/>
          <w:lang w:val="en-US" w:eastAsia="zh-CN" w:bidi="ar"/>
        </w:rPr>
        <w:t>进行了自查和复查，检查发现问题4个，及时进行问题整改4个，确保财经纪律</w:t>
      </w:r>
      <w:r>
        <w:rPr>
          <w:rFonts w:hint="default" w:ascii="仿宋_GB2312" w:hAnsi="Calibri" w:eastAsia="仿宋_GB2312" w:cs="仿宋_GB2312"/>
          <w:b w:val="0"/>
          <w:bCs w:val="0"/>
          <w:spacing w:val="-6"/>
          <w:kern w:val="2"/>
          <w:sz w:val="32"/>
          <w:szCs w:val="32"/>
          <w:highlight w:val="none"/>
          <w:lang w:val="en-US" w:eastAsia="zh-CN" w:bidi="ar"/>
        </w:rPr>
        <w:t>重点问题全面整改。围绕会计信息质量监督检查对政府采购、单位财务管理、内控制度、资产管理等情况进行监督检查，检查出的97个财会问题已全部完成整改。根据财务检查、</w:t>
      </w:r>
      <w:r>
        <w:rPr>
          <w:rFonts w:hint="eastAsia" w:ascii="仿宋_GB2312" w:eastAsia="仿宋_GB2312" w:cs="仿宋_GB2312"/>
          <w:b w:val="0"/>
          <w:bCs w:val="0"/>
          <w:spacing w:val="-6"/>
          <w:kern w:val="2"/>
          <w:sz w:val="32"/>
          <w:szCs w:val="32"/>
          <w:highlight w:val="none"/>
          <w:lang w:val="en-US" w:eastAsia="zh-CN" w:bidi="ar"/>
        </w:rPr>
        <w:t>“</w:t>
      </w:r>
      <w:r>
        <w:rPr>
          <w:rFonts w:hint="default" w:ascii="仿宋_GB2312" w:hAnsi="Calibri" w:eastAsia="仿宋_GB2312" w:cs="仿宋_GB2312"/>
          <w:b w:val="0"/>
          <w:bCs w:val="0"/>
          <w:spacing w:val="-6"/>
          <w:kern w:val="2"/>
          <w:sz w:val="32"/>
          <w:szCs w:val="32"/>
          <w:highlight w:val="none"/>
          <w:lang w:val="en-US" w:eastAsia="zh-CN" w:bidi="ar"/>
        </w:rPr>
        <w:t>装修风</w:t>
      </w:r>
      <w:r>
        <w:rPr>
          <w:rFonts w:hint="eastAsia" w:ascii="仿宋_GB2312" w:eastAsia="仿宋_GB2312" w:cs="仿宋_GB2312"/>
          <w:b w:val="0"/>
          <w:bCs w:val="0"/>
          <w:spacing w:val="-6"/>
          <w:kern w:val="2"/>
          <w:sz w:val="32"/>
          <w:szCs w:val="32"/>
          <w:highlight w:val="none"/>
          <w:lang w:val="en-US" w:eastAsia="zh-CN" w:bidi="ar"/>
        </w:rPr>
        <w:t>”</w:t>
      </w:r>
      <w:r>
        <w:rPr>
          <w:rFonts w:hint="default" w:ascii="仿宋_GB2312" w:hAnsi="Calibri" w:eastAsia="仿宋_GB2312" w:cs="仿宋_GB2312"/>
          <w:b w:val="0"/>
          <w:bCs w:val="0"/>
          <w:spacing w:val="-6"/>
          <w:kern w:val="2"/>
          <w:sz w:val="32"/>
          <w:szCs w:val="32"/>
          <w:highlight w:val="none"/>
          <w:lang w:val="en-US" w:eastAsia="zh-CN" w:bidi="ar"/>
        </w:rPr>
        <w:t xml:space="preserve">向基层蔓延文件精神，开展对部门单位监督检查工作。 </w:t>
      </w:r>
    </w:p>
    <w:p w14:paraId="57C638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eastAsia="仿宋_GB2312" w:cs="仿宋_GB2312"/>
          <w:bCs/>
          <w:color w:val="000000" w:themeColor="text1"/>
          <w:sz w:val="32"/>
          <w:szCs w:val="32"/>
          <w:highlight w:val="none"/>
          <w14:textFill>
            <w14:solidFill>
              <w14:schemeClr w14:val="tx1"/>
            </w14:solidFill>
          </w14:textFill>
        </w:rPr>
        <w:t>各位代表，在财政收入增长乏力和刚性支出只增不减的双重压力下，全县财政工作稳中向好，公共财政保障水平不断提升，各项重大政策有效落实，这是县委</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、县政府</w:t>
      </w:r>
      <w:r>
        <w:rPr>
          <w:rFonts w:hint="eastAsia" w:ascii="仿宋_GB2312" w:eastAsia="仿宋_GB2312" w:cs="仿宋_GB2312"/>
          <w:bCs/>
          <w:color w:val="000000" w:themeColor="text1"/>
          <w:sz w:val="32"/>
          <w:szCs w:val="32"/>
          <w:highlight w:val="none"/>
          <w14:textFill>
            <w14:solidFill>
              <w14:schemeClr w14:val="tx1"/>
            </w14:solidFill>
          </w14:textFill>
        </w:rPr>
        <w:t>统揽全局、正确领导的结果，是县人大、县政协监督指导及代表委员们大力支持的结果，是各部门密切配合、扎实工作的结果。但深入分析，全县财政工作仍然面临一些不容忽视的困难和问题：</w:t>
      </w:r>
      <w:r>
        <w:rPr>
          <w:rFonts w:hint="eastAsia" w:ascii="仿宋_GB2312" w:eastAsia="仿宋_GB2312" w:cs="仿宋_GB2312"/>
          <w:b/>
          <w:bCs w:val="0"/>
          <w:color w:val="000000" w:themeColor="text1"/>
          <w:sz w:val="32"/>
          <w:szCs w:val="32"/>
          <w:highlight w:val="none"/>
          <w14:textFill>
            <w14:solidFill>
              <w14:schemeClr w14:val="tx1"/>
            </w14:solidFill>
          </w14:textFill>
        </w:rPr>
        <w:t>一是</w:t>
      </w:r>
      <w:r>
        <w:rPr>
          <w:rFonts w:hint="eastAsia" w:ascii="仿宋_GB2312" w:eastAsia="仿宋_GB2312" w:cs="仿宋_GB2312"/>
          <w:bCs/>
          <w:color w:val="000000" w:themeColor="text1"/>
          <w:sz w:val="32"/>
          <w:szCs w:val="32"/>
          <w:highlight w:val="none"/>
          <w14:textFill>
            <w14:solidFill>
              <w14:schemeClr w14:val="tx1"/>
            </w14:solidFill>
          </w14:textFill>
        </w:rPr>
        <w:t>财源结构单一，税收基础薄弱，收入结构不够合理的现状短期内难以改变</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，税收占比仍然低于全省平均水平。</w:t>
      </w:r>
      <w:r>
        <w:rPr>
          <w:rFonts w:hint="eastAsia" w:ascii="仿宋_GB2312" w:eastAsia="仿宋_GB2312" w:cs="仿宋_GB2312"/>
          <w:b/>
          <w:bCs w:val="0"/>
          <w:color w:val="000000" w:themeColor="text1"/>
          <w:sz w:val="32"/>
          <w:szCs w:val="32"/>
          <w:highlight w:val="none"/>
          <w:lang w:eastAsia="zh-CN"/>
          <w14:textFill>
            <w14:solidFill>
              <w14:schemeClr w14:val="tx1"/>
            </w14:solidFill>
          </w14:textFill>
        </w:rPr>
        <w:t>二是</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民生支出逐年增加，特别是养老保险、职业年金政策落实和养老保险入不敷出等问题，收支矛盾非常突出。</w:t>
      </w:r>
      <w:r>
        <w:rPr>
          <w:rFonts w:hint="eastAsia" w:ascii="仿宋_GB2312" w:eastAsia="仿宋_GB2312" w:cs="仿宋_GB2312"/>
          <w:b/>
          <w:bCs w:val="0"/>
          <w:color w:val="000000" w:themeColor="text1"/>
          <w:sz w:val="32"/>
          <w:szCs w:val="32"/>
          <w:highlight w:val="none"/>
          <w:lang w:eastAsia="zh-CN"/>
          <w14:textFill>
            <w14:solidFill>
              <w14:schemeClr w14:val="tx1"/>
            </w14:solidFill>
          </w14:textFill>
        </w:rPr>
        <w:t>三是</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财会监督、政府采购管理力量薄弱，职能作用发挥不够，绩效评价质量还不高，评价结果运用还不够充分。</w:t>
      </w:r>
      <w:r>
        <w:rPr>
          <w:rFonts w:hint="eastAsia" w:ascii="仿宋_GB2312" w:eastAsia="仿宋_GB2312" w:cs="仿宋_GB2312"/>
          <w:b/>
          <w:bCs w:val="0"/>
          <w:color w:val="000000" w:themeColor="text1"/>
          <w:sz w:val="32"/>
          <w:szCs w:val="32"/>
          <w:highlight w:val="none"/>
          <w:lang w:eastAsia="zh-CN"/>
          <w14:textFill>
            <w14:solidFill>
              <w14:schemeClr w14:val="tx1"/>
            </w14:solidFill>
          </w14:textFill>
        </w:rPr>
        <w:t>四是</w:t>
      </w:r>
      <w:r>
        <w:rPr>
          <w:rFonts w:hint="eastAsia" w:ascii="仿宋_GB2312" w:hAnsi="Calibri" w:eastAsia="仿宋_GB2312"/>
          <w:color w:val="000000"/>
          <w:sz w:val="32"/>
          <w:highlight w:val="none"/>
        </w:rPr>
        <w:t>虽然全县政府债务风险总体可控，但随着债券还本付息进入高峰期，防范和化解政府债务的任务非常艰巨，财政运</w:t>
      </w:r>
      <w:r>
        <w:rPr>
          <w:rFonts w:hint="eastAsia" w:ascii="仿宋_GB2312" w:hAnsi="Calibri" w:eastAsia="仿宋_GB2312"/>
          <w:color w:val="000000"/>
          <w:spacing w:val="-6"/>
          <w:sz w:val="32"/>
          <w:highlight w:val="none"/>
        </w:rPr>
        <w:t>行存在一定风险。对此，我们将高度重视，采取有力措施加以解决。</w:t>
      </w:r>
    </w:p>
    <w:p w14:paraId="32DC41EA">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eastAsia="黑体" w:cs="黑体"/>
          <w:color w:val="000000" w:themeColor="text1"/>
          <w:sz w:val="32"/>
          <w:szCs w:val="32"/>
          <w:highlight w:val="none"/>
          <w14:textFill>
            <w14:solidFill>
              <w14:schemeClr w14:val="tx1"/>
            </w14:solidFill>
          </w14:textFill>
        </w:rPr>
      </w:pPr>
      <w:r>
        <w:rPr>
          <w:rFonts w:hint="eastAsia" w:ascii="黑体" w:eastAsia="黑体" w:cs="黑体"/>
          <w:color w:val="000000" w:themeColor="text1"/>
          <w:sz w:val="32"/>
          <w:szCs w:val="32"/>
          <w:highlight w:val="none"/>
          <w14:textFill>
            <w14:solidFill>
              <w14:schemeClr w14:val="tx1"/>
            </w14:solidFill>
          </w14:textFill>
        </w:rPr>
        <w:t>二、202</w:t>
      </w:r>
      <w:r>
        <w:rPr>
          <w:rFonts w:hint="eastAsia" w:ascii="黑体" w:eastAsia="黑体" w:cs="黑体"/>
          <w:color w:val="000000" w:themeColor="text1"/>
          <w:sz w:val="32"/>
          <w:szCs w:val="32"/>
          <w:highlight w:val="none"/>
          <w:lang w:val="en-US" w:eastAsia="zh-CN"/>
          <w14:textFill>
            <w14:solidFill>
              <w14:schemeClr w14:val="tx1"/>
            </w14:solidFill>
          </w14:textFill>
        </w:rPr>
        <w:t>5</w:t>
      </w:r>
      <w:r>
        <w:rPr>
          <w:rFonts w:hint="eastAsia" w:ascii="黑体" w:eastAsia="黑体" w:cs="黑体"/>
          <w:color w:val="000000" w:themeColor="text1"/>
          <w:sz w:val="32"/>
          <w:szCs w:val="32"/>
          <w:highlight w:val="none"/>
          <w14:textFill>
            <w14:solidFill>
              <w14:schemeClr w14:val="tx1"/>
            </w14:solidFill>
          </w14:textFill>
        </w:rPr>
        <w:t>年县级财政预算草案</w:t>
      </w:r>
    </w:p>
    <w:p w14:paraId="6B127B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eastAsia="仿宋_GB2312" w:cs="仿宋_GB2312"/>
          <w:bCs/>
          <w:color w:val="000000" w:themeColor="text1"/>
          <w:sz w:val="32"/>
          <w:szCs w:val="32"/>
          <w:highlight w:val="none"/>
          <w:lang w:eastAsia="zh-CN"/>
          <w14:textFill>
            <w14:solidFill>
              <w14:schemeClr w14:val="tx1"/>
            </w14:solidFill>
          </w14:textFill>
        </w:rPr>
        <w:t>202</w:t>
      </w:r>
      <w:r>
        <w:rPr>
          <w:rFonts w:hint="eastAsia" w:ascii="仿宋_GB2312" w:eastAsia="仿宋_GB2312" w:cs="仿宋_GB2312"/>
          <w:bCs/>
          <w:color w:val="000000" w:themeColor="text1"/>
          <w:sz w:val="32"/>
          <w:szCs w:val="32"/>
          <w:highlight w:val="none"/>
          <w:lang w:val="en-US" w:eastAsia="zh-CN"/>
          <w14:textFill>
            <w14:solidFill>
              <w14:schemeClr w14:val="tx1"/>
            </w14:solidFill>
          </w14:textFill>
        </w:rPr>
        <w:t>5</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年是实施“十四五”规划的收官之年。编制好202</w:t>
      </w:r>
      <w:r>
        <w:rPr>
          <w:rFonts w:hint="eastAsia" w:ascii="仿宋_GB2312" w:eastAsia="仿宋_GB2312" w:cs="仿宋_GB2312"/>
          <w:bCs/>
          <w:color w:val="000000" w:themeColor="text1"/>
          <w:sz w:val="32"/>
          <w:szCs w:val="32"/>
          <w:highlight w:val="none"/>
          <w:lang w:val="en-US" w:eastAsia="zh-CN"/>
          <w14:textFill>
            <w14:solidFill>
              <w14:schemeClr w14:val="tx1"/>
            </w14:solidFill>
          </w14:textFill>
        </w:rPr>
        <w:t>5</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年预算，对深入学习贯彻党的二十大精神，坚持稳中求进工作总基调，完整、准确、全面贯彻新发展理念，加快构建新发展格局，推动县域经济高质量发展具有重要的意义。</w:t>
      </w:r>
    </w:p>
    <w:p w14:paraId="1CE40738">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ascii="楷体_GB2312" w:eastAsia="楷体_GB2312" w:cs="楷体_GB2312"/>
          <w:b/>
          <w:bCs/>
          <w:color w:val="000000" w:themeColor="text1"/>
          <w:sz w:val="32"/>
          <w:szCs w:val="32"/>
          <w:highlight w:val="none"/>
          <w14:textFill>
            <w14:solidFill>
              <w14:schemeClr w14:val="tx1"/>
            </w14:solidFill>
          </w14:textFill>
        </w:rPr>
      </w:pPr>
      <w:r>
        <w:rPr>
          <w:rFonts w:hint="eastAsia" w:ascii="楷体_GB2312" w:eastAsia="楷体_GB2312" w:cs="楷体_GB2312"/>
          <w:b/>
          <w:bCs/>
          <w:color w:val="000000" w:themeColor="text1"/>
          <w:sz w:val="32"/>
          <w:szCs w:val="32"/>
          <w:highlight w:val="none"/>
          <w14:textFill>
            <w14:solidFill>
              <w14:schemeClr w14:val="tx1"/>
            </w14:solidFill>
          </w14:textFill>
        </w:rPr>
        <w:t>（一）</w:t>
      </w:r>
      <w:r>
        <w:rPr>
          <w:rFonts w:hint="eastAsia" w:ascii="楷体_GB2312" w:eastAsia="楷体_GB2312" w:cs="楷体_GB2312"/>
          <w:b/>
          <w:bCs/>
          <w:color w:val="000000" w:themeColor="text1"/>
          <w:sz w:val="32"/>
          <w:szCs w:val="32"/>
          <w:highlight w:val="none"/>
          <w:lang w:val="en-US" w:eastAsia="zh-CN"/>
          <w14:textFill>
            <w14:solidFill>
              <w14:schemeClr w14:val="tx1"/>
            </w14:solidFill>
          </w14:textFill>
        </w:rPr>
        <w:t>2025</w:t>
      </w:r>
      <w:r>
        <w:rPr>
          <w:rFonts w:hint="eastAsia" w:ascii="楷体_GB2312" w:eastAsia="楷体_GB2312" w:cs="楷体_GB2312"/>
          <w:b/>
          <w:bCs/>
          <w:color w:val="000000" w:themeColor="text1"/>
          <w:sz w:val="32"/>
          <w:szCs w:val="32"/>
          <w:highlight w:val="none"/>
          <w14:textFill>
            <w14:solidFill>
              <w14:schemeClr w14:val="tx1"/>
            </w14:solidFill>
          </w14:textFill>
        </w:rPr>
        <w:t>年财政收支形势分析</w:t>
      </w:r>
    </w:p>
    <w:p w14:paraId="7262A02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eastAsia="仿宋_GB2312" w:cs="仿宋_GB2312"/>
          <w:b/>
          <w:bCs/>
          <w:color w:val="000000" w:themeColor="text1"/>
          <w:sz w:val="32"/>
          <w:szCs w:val="32"/>
          <w:highlight w:val="none"/>
          <w14:textFill>
            <w14:solidFill>
              <w14:schemeClr w14:val="tx1"/>
            </w14:solidFill>
          </w14:textFill>
        </w:rPr>
        <w:t>从积极因素看，</w:t>
      </w:r>
      <w:r>
        <w:rPr>
          <w:rFonts w:hint="eastAsia" w:ascii="仿宋_GB2312" w:eastAsia="仿宋_GB2312" w:cs="仿宋_GB2312"/>
          <w:bCs/>
          <w:color w:val="000000" w:themeColor="text1"/>
          <w:sz w:val="32"/>
          <w:szCs w:val="32"/>
          <w:highlight w:val="none"/>
          <w14:textFill>
            <w14:solidFill>
              <w14:schemeClr w14:val="tx1"/>
            </w14:solidFill>
          </w14:textFill>
        </w:rPr>
        <w:t>国家持续推</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进</w:t>
      </w:r>
      <w:r>
        <w:rPr>
          <w:rFonts w:hint="eastAsia" w:ascii="仿宋_GB2312" w:eastAsia="仿宋_GB2312" w:cs="仿宋_GB2312"/>
          <w:bCs/>
          <w:color w:val="000000" w:themeColor="text1"/>
          <w:sz w:val="32"/>
          <w:szCs w:val="32"/>
          <w:highlight w:val="none"/>
          <w14:textFill>
            <w14:solidFill>
              <w14:schemeClr w14:val="tx1"/>
            </w14:solidFill>
          </w14:textFill>
        </w:rPr>
        <w:t>西部大开发</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发展战略</w:t>
      </w:r>
      <w:r>
        <w:rPr>
          <w:rFonts w:hint="eastAsia" w:ascii="仿宋_GB2312" w:eastAsia="仿宋_GB2312" w:cs="仿宋_GB2312"/>
          <w:bCs/>
          <w:color w:val="000000" w:themeColor="text1"/>
          <w:sz w:val="32"/>
          <w:szCs w:val="32"/>
          <w:highlight w:val="none"/>
          <w14:textFill>
            <w14:solidFill>
              <w14:schemeClr w14:val="tx1"/>
            </w14:solidFill>
          </w14:textFill>
        </w:rPr>
        <w:t>、加快黄河流域生态保护和高质量发展</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、共建“一带一路”、加快建设全国统一大市场等国家战略的深入实施</w:t>
      </w:r>
      <w:r>
        <w:rPr>
          <w:rFonts w:hint="eastAsia" w:ascii="仿宋_GB2312" w:eastAsia="仿宋_GB2312" w:cs="仿宋_GB2312"/>
          <w:bCs/>
          <w:color w:val="000000" w:themeColor="text1"/>
          <w:sz w:val="32"/>
          <w:szCs w:val="32"/>
          <w:highlight w:val="none"/>
          <w14:textFill>
            <w14:solidFill>
              <w14:schemeClr w14:val="tx1"/>
            </w14:solidFill>
          </w14:textFill>
        </w:rPr>
        <w:t>，</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为我县争取政策和资金创造了更多条件，</w:t>
      </w:r>
      <w:r>
        <w:rPr>
          <w:rFonts w:hint="eastAsia" w:ascii="仿宋_GB2312" w:eastAsia="仿宋_GB2312" w:cs="仿宋_GB2312"/>
          <w:bCs/>
          <w:color w:val="000000" w:themeColor="text1"/>
          <w:sz w:val="32"/>
          <w:szCs w:val="32"/>
          <w:highlight w:val="none"/>
          <w14:textFill>
            <w14:solidFill>
              <w14:schemeClr w14:val="tx1"/>
            </w14:solidFill>
          </w14:textFill>
        </w:rPr>
        <w:t>我县区位优势明显，</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我们要抓住</w:t>
      </w:r>
      <w:r>
        <w:rPr>
          <w:rFonts w:hint="eastAsia" w:ascii="仿宋_GB2312" w:eastAsia="仿宋_GB2312" w:cs="仿宋_GB2312"/>
          <w:bCs/>
          <w:color w:val="000000" w:themeColor="text1"/>
          <w:sz w:val="32"/>
          <w:szCs w:val="32"/>
          <w:highlight w:val="none"/>
          <w14:textFill>
            <w14:solidFill>
              <w14:schemeClr w14:val="tx1"/>
            </w14:solidFill>
          </w14:textFill>
        </w:rPr>
        <w:t>国家倾斜政策和市场利好的机遇期，</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政策</w:t>
      </w:r>
      <w:r>
        <w:rPr>
          <w:rFonts w:hint="eastAsia" w:ascii="仿宋_GB2312" w:eastAsia="仿宋_GB2312" w:cs="仿宋_GB2312"/>
          <w:bCs/>
          <w:color w:val="000000" w:themeColor="text1"/>
          <w:sz w:val="32"/>
          <w:szCs w:val="32"/>
          <w:highlight w:val="none"/>
          <w14:textFill>
            <w14:solidFill>
              <w14:schemeClr w14:val="tx1"/>
            </w14:solidFill>
          </w14:textFill>
        </w:rPr>
        <w:t>叠加</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和</w:t>
      </w:r>
      <w:r>
        <w:rPr>
          <w:rFonts w:hint="eastAsia" w:ascii="仿宋_GB2312" w:eastAsia="仿宋_GB2312" w:cs="仿宋_GB2312"/>
          <w:bCs/>
          <w:color w:val="000000" w:themeColor="text1"/>
          <w:sz w:val="32"/>
          <w:szCs w:val="32"/>
          <w:highlight w:val="none"/>
          <w14:textFill>
            <w14:solidFill>
              <w14:schemeClr w14:val="tx1"/>
            </w14:solidFill>
          </w14:textFill>
        </w:rPr>
        <w:t>奋进赶超的窗口期，通过不断招大引强、实施产业培育等机制，依托</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矿产资源、文化旅游、现代农牧业</w:t>
      </w:r>
      <w:r>
        <w:rPr>
          <w:rFonts w:hint="eastAsia" w:ascii="仿宋_GB2312" w:eastAsia="仿宋_GB2312" w:cs="仿宋_GB2312"/>
          <w:bCs/>
          <w:color w:val="000000" w:themeColor="text1"/>
          <w:sz w:val="32"/>
          <w:szCs w:val="32"/>
          <w:highlight w:val="none"/>
          <w14:textFill>
            <w14:solidFill>
              <w14:schemeClr w14:val="tx1"/>
            </w14:solidFill>
          </w14:textFill>
        </w:rPr>
        <w:t>等资源优势，不断破题解难、积厚成势，为我县转型发展创造了有利条件。</w:t>
      </w:r>
    </w:p>
    <w:p w14:paraId="1942B0D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cs="仿宋_GB2312"/>
          <w:bCs/>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14:textFill>
            <w14:solidFill>
              <w14:schemeClr w14:val="tx1"/>
            </w14:solidFill>
          </w14:textFill>
        </w:rPr>
        <w:t>从面临挑战看，</w:t>
      </w:r>
      <w:r>
        <w:rPr>
          <w:rFonts w:hint="eastAsia" w:ascii="仿宋_GB2312" w:eastAsia="仿宋_GB2312" w:cs="仿宋_GB2312"/>
          <w:bCs/>
          <w:color w:val="000000" w:themeColor="text1"/>
          <w:sz w:val="32"/>
          <w:szCs w:val="32"/>
          <w:highlight w:val="none"/>
          <w:lang w:eastAsia="zh-CN"/>
          <w14:textFill>
            <w14:solidFill>
              <w14:schemeClr w14:val="tx1"/>
            </w14:solidFill>
          </w14:textFill>
        </w:rPr>
        <w:t>我县财政收入不尽合理，非税收入占比较大，税收占比远低于全省平均水平。近年来，国家持续实施减税降费政策，部分企业留抵退税金额较大，将严重影响我县财政收入和收入质量。矿业权出让收益、国有资产处置等一次性非税收入增长空间收窄，未来几年一般公共预算收入保持高质量增长态势存在较大困难，同时，全力做好“三保”、债务偿还工作，持续改善民生，支持教育科技、乡村振兴、生态环保等领域需求不断加大，对财政资金支出压力大，预算平衡压力加剧，财政紧平衡、难平衡特征更加凸显。</w:t>
      </w:r>
    </w:p>
    <w:p w14:paraId="2E8F255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eastAsia="楷体_GB2312" w:cs="楷体_GB2312"/>
          <w:b/>
          <w:bCs/>
          <w:color w:val="000000" w:themeColor="text1"/>
          <w:sz w:val="32"/>
          <w:szCs w:val="32"/>
          <w:highlight w:val="none"/>
          <w14:textFill>
            <w14:solidFill>
              <w14:schemeClr w14:val="tx1"/>
            </w14:solidFill>
          </w14:textFill>
        </w:rPr>
        <w:t>（二）202</w:t>
      </w:r>
      <w:r>
        <w:rPr>
          <w:rFonts w:hint="eastAsia" w:ascii="楷体_GB2312" w:eastAsia="楷体_GB2312" w:cs="楷体_GB2312"/>
          <w:b/>
          <w:bCs/>
          <w:color w:val="000000" w:themeColor="text1"/>
          <w:sz w:val="32"/>
          <w:szCs w:val="32"/>
          <w:highlight w:val="none"/>
          <w:lang w:val="en-US" w:eastAsia="zh-CN"/>
          <w14:textFill>
            <w14:solidFill>
              <w14:schemeClr w14:val="tx1"/>
            </w14:solidFill>
          </w14:textFill>
        </w:rPr>
        <w:t>5</w:t>
      </w:r>
      <w:r>
        <w:rPr>
          <w:rFonts w:hint="eastAsia" w:ascii="楷体_GB2312" w:eastAsia="楷体_GB2312" w:cs="楷体_GB2312"/>
          <w:b/>
          <w:bCs/>
          <w:color w:val="000000" w:themeColor="text1"/>
          <w:sz w:val="32"/>
          <w:szCs w:val="32"/>
          <w:highlight w:val="none"/>
          <w14:textFill>
            <w14:solidFill>
              <w14:schemeClr w14:val="tx1"/>
            </w14:solidFill>
          </w14:textFill>
        </w:rPr>
        <w:t>年预算编制的指导思想</w:t>
      </w:r>
      <w:r>
        <w:rPr>
          <w:rFonts w:hint="eastAsia" w:ascii="楷体_GB2312" w:eastAsia="楷体_GB2312" w:cs="楷体_GB2312"/>
          <w:b/>
          <w:bCs/>
          <w:color w:val="000000" w:themeColor="text1"/>
          <w:sz w:val="32"/>
          <w:szCs w:val="32"/>
          <w:highlight w:val="none"/>
          <w:lang w:eastAsia="zh-CN"/>
          <w14:textFill>
            <w14:solidFill>
              <w14:schemeClr w14:val="tx1"/>
            </w14:solidFill>
          </w14:textFill>
        </w:rPr>
        <w:t>及基本原则</w:t>
      </w:r>
    </w:p>
    <w:p w14:paraId="73DB8035">
      <w:pPr>
        <w:keepNext w:val="0"/>
        <w:keepLines w:val="0"/>
        <w:pageBreakBefore w:val="0"/>
        <w:kinsoku/>
        <w:topLinePunct w:val="0"/>
        <w:autoSpaceDE/>
        <w:autoSpaceDN/>
        <w:bidi w:val="0"/>
        <w:snapToGrid w:val="0"/>
        <w:spacing w:line="560" w:lineRule="exact"/>
        <w:ind w:firstLine="640"/>
        <w:jc w:val="both"/>
        <w:textAlignment w:val="auto"/>
        <w:rPr>
          <w:rFonts w:hint="eastAsia" w:ascii="仿宋_GB2312" w:eastAsia="仿宋_GB2312"/>
          <w:color w:val="000000"/>
          <w:sz w:val="32"/>
          <w:lang w:eastAsia="zh-CN"/>
        </w:rPr>
      </w:pPr>
      <w:r>
        <w:rPr>
          <w:rFonts w:hint="eastAsia" w:ascii="仿宋_GB2312" w:hAnsi="华文仿宋" w:eastAsia="仿宋_GB2312"/>
          <w:color w:val="000000"/>
          <w:sz w:val="32"/>
        </w:rPr>
        <w:t>以习近平新时代中国特色社会主义思想为指导，全面贯彻落实党的二十大</w:t>
      </w:r>
      <w:r>
        <w:rPr>
          <w:rFonts w:hint="eastAsia" w:ascii="仿宋_GB2312" w:hAnsi="华文仿宋" w:eastAsia="仿宋_GB2312"/>
          <w:color w:val="000000"/>
          <w:sz w:val="32"/>
          <w:lang w:eastAsia="zh-CN"/>
        </w:rPr>
        <w:t>和二十届二中、三中全会</w:t>
      </w:r>
      <w:r>
        <w:rPr>
          <w:rFonts w:hint="eastAsia" w:ascii="仿宋_GB2312" w:hAnsi="华文仿宋" w:eastAsia="仿宋_GB2312"/>
          <w:color w:val="000000"/>
          <w:sz w:val="32"/>
        </w:rPr>
        <w:t>精神，</w:t>
      </w:r>
      <w:r>
        <w:rPr>
          <w:rFonts w:hint="eastAsia" w:ascii="仿宋_GB2312" w:eastAsia="仿宋_GB2312"/>
          <w:color w:val="000000"/>
          <w:sz w:val="32"/>
          <w:lang w:eastAsia="zh-CN"/>
        </w:rPr>
        <w:t>认真落实习近平经济思想和习近平总书记视察甘肃重要讲话重要指示精神</w:t>
      </w:r>
      <w:r>
        <w:rPr>
          <w:rFonts w:hint="eastAsia" w:ascii="仿宋_GB2312" w:hAnsi="Calibri" w:eastAsia="仿宋_GB2312"/>
          <w:color w:val="000000"/>
          <w:sz w:val="32"/>
        </w:rPr>
        <w:t>,贯彻新发展理念，统筹</w:t>
      </w:r>
      <w:r>
        <w:rPr>
          <w:rFonts w:hint="eastAsia" w:ascii="仿宋_GB2312" w:eastAsia="仿宋_GB2312"/>
          <w:color w:val="000000"/>
          <w:sz w:val="32"/>
          <w:lang w:eastAsia="zh-CN"/>
        </w:rPr>
        <w:t>安排资金</w:t>
      </w:r>
      <w:r>
        <w:rPr>
          <w:rFonts w:hint="eastAsia" w:ascii="仿宋_GB2312" w:hAnsi="Calibri" w:eastAsia="仿宋_GB2312"/>
          <w:color w:val="000000"/>
          <w:sz w:val="32"/>
        </w:rPr>
        <w:t>，</w:t>
      </w:r>
      <w:r>
        <w:rPr>
          <w:rFonts w:hint="eastAsia" w:ascii="仿宋_GB2312" w:eastAsia="仿宋_GB2312"/>
          <w:color w:val="000000"/>
          <w:sz w:val="32"/>
          <w:lang w:eastAsia="zh-CN"/>
        </w:rPr>
        <w:t>压减一般性支出，</w:t>
      </w:r>
      <w:r>
        <w:rPr>
          <w:rFonts w:hint="eastAsia" w:ascii="仿宋_GB2312" w:hAnsi="Calibri" w:eastAsia="仿宋_GB2312"/>
          <w:color w:val="000000"/>
          <w:sz w:val="32"/>
        </w:rPr>
        <w:t>大力优化财政支出结构，加大重点领域投入力度，兜牢兜实“三保”底线，增进民生福祉，保持社会稳定，为全县经济社会高质量发展提供强有力支撑</w:t>
      </w:r>
      <w:r>
        <w:rPr>
          <w:rFonts w:hint="eastAsia" w:ascii="仿宋_GB2312" w:eastAsia="仿宋_GB2312"/>
          <w:color w:val="000000"/>
          <w:sz w:val="32"/>
          <w:lang w:eastAsia="zh-CN"/>
        </w:rPr>
        <w:t>。</w:t>
      </w:r>
    </w:p>
    <w:p w14:paraId="627AA376">
      <w:pPr>
        <w:pStyle w:val="11"/>
        <w:keepNext w:val="0"/>
        <w:keepLines w:val="0"/>
        <w:pageBreakBefore w:val="0"/>
        <w:kinsoku/>
        <w:topLinePunct w:val="0"/>
        <w:autoSpaceDE/>
        <w:autoSpaceDN/>
        <w:bidi w:val="0"/>
        <w:spacing w:line="560" w:lineRule="exact"/>
        <w:ind w:firstLine="640" w:firstLineChars="200"/>
        <w:jc w:val="both"/>
        <w:textAlignment w:val="auto"/>
        <w:rPr>
          <w:rFonts w:hint="eastAsia" w:ascii="仿宋_GB2312" w:hAnsi="Calibri" w:eastAsia="仿宋_GB2312" w:cs="Calibri"/>
          <w:color w:val="000000"/>
          <w:kern w:val="2"/>
          <w:sz w:val="32"/>
          <w:szCs w:val="21"/>
          <w:lang w:val="en-US" w:eastAsia="zh-CN" w:bidi="ar-SA"/>
        </w:rPr>
      </w:pPr>
      <w:r>
        <w:rPr>
          <w:rFonts w:hint="eastAsia" w:ascii="仿宋_GB2312" w:hAnsi="Calibri" w:eastAsia="仿宋_GB2312" w:cs="Calibri"/>
          <w:color w:val="000000"/>
          <w:kern w:val="2"/>
          <w:sz w:val="32"/>
          <w:szCs w:val="21"/>
          <w:lang w:val="en-US" w:eastAsia="zh-CN" w:bidi="ar-SA"/>
        </w:rPr>
        <w:t>2025年预算编制和财政工作遵循以下原则：</w:t>
      </w:r>
    </w:p>
    <w:p w14:paraId="252206C5">
      <w:pPr>
        <w:keepNext w:val="0"/>
        <w:keepLines w:val="0"/>
        <w:pageBreakBefore w:val="0"/>
        <w:kinsoku/>
        <w:topLinePunct w:val="0"/>
        <w:autoSpaceDE/>
        <w:autoSpaceDN/>
        <w:bidi w:val="0"/>
        <w:spacing w:line="560" w:lineRule="exact"/>
        <w:ind w:firstLine="622" w:firstLineChars="200"/>
        <w:jc w:val="both"/>
        <w:textAlignment w:val="auto"/>
        <w:rPr>
          <w:rFonts w:hint="eastAsia" w:ascii="仿宋_GB2312" w:hAnsi="Calibri" w:eastAsia="仿宋_GB2312"/>
          <w:color w:val="000000"/>
          <w:sz w:val="32"/>
        </w:rPr>
      </w:pPr>
      <w:r>
        <w:rPr>
          <w:rStyle w:val="16"/>
          <w:rFonts w:hint="eastAsia" w:ascii="黑体" w:hAnsi="黑体" w:eastAsia="黑体" w:cs="黑体"/>
          <w:i w:val="0"/>
          <w:iCs w:val="0"/>
          <w:caps w:val="0"/>
          <w:color w:val="000000"/>
          <w:spacing w:val="0"/>
          <w:sz w:val="31"/>
          <w:szCs w:val="31"/>
          <w:shd w:val="clear" w:fill="FFFFFF"/>
        </w:rPr>
        <w:t>——</w:t>
      </w:r>
      <w:r>
        <w:rPr>
          <w:rStyle w:val="16"/>
          <w:rFonts w:hint="eastAsia" w:ascii="仿宋_GB2312" w:hAnsi="微软雅黑" w:eastAsia="仿宋_GB2312" w:cs="仿宋_GB2312"/>
          <w:i w:val="0"/>
          <w:iCs w:val="0"/>
          <w:caps w:val="0"/>
          <w:color w:val="000000"/>
          <w:spacing w:val="0"/>
          <w:sz w:val="31"/>
          <w:szCs w:val="31"/>
          <w:shd w:val="clear" w:fill="FFFFFF"/>
        </w:rPr>
        <w:t>实事求是、科学预测。</w:t>
      </w:r>
      <w:r>
        <w:rPr>
          <w:rFonts w:hint="eastAsia" w:ascii="仿宋_GB2312" w:hAnsi="Calibri" w:eastAsia="仿宋_GB2312"/>
          <w:color w:val="000000"/>
          <w:sz w:val="32"/>
        </w:rPr>
        <w:t>坚持收入预算与经济社会发展水平相协调，与积极的财政政策相衔接，实事求是、科学精准预算财政收入。</w:t>
      </w:r>
    </w:p>
    <w:p w14:paraId="5A6FA41B">
      <w:pPr>
        <w:keepNext w:val="0"/>
        <w:keepLines w:val="0"/>
        <w:pageBreakBefore w:val="0"/>
        <w:kinsoku/>
        <w:topLinePunct w:val="0"/>
        <w:autoSpaceDE/>
        <w:autoSpaceDN/>
        <w:bidi w:val="0"/>
        <w:spacing w:line="560" w:lineRule="exact"/>
        <w:ind w:firstLine="622" w:firstLineChars="200"/>
        <w:jc w:val="both"/>
        <w:textAlignment w:val="auto"/>
        <w:rPr>
          <w:rFonts w:hint="default" w:ascii="仿宋_GB2312" w:hAnsi="Calibri" w:eastAsia="仿宋_GB2312"/>
          <w:color w:val="000000"/>
          <w:sz w:val="32"/>
          <w:lang w:val="en-US" w:eastAsia="zh-CN"/>
        </w:rPr>
      </w:pPr>
      <w:r>
        <w:rPr>
          <w:rStyle w:val="16"/>
          <w:rFonts w:hint="default" w:ascii="黑体" w:hAnsi="黑体" w:eastAsia="黑体" w:cs="黑体"/>
          <w:i w:val="0"/>
          <w:iCs w:val="0"/>
          <w:caps w:val="0"/>
          <w:color w:val="000000"/>
          <w:spacing w:val="0"/>
          <w:sz w:val="31"/>
          <w:szCs w:val="31"/>
          <w:shd w:val="clear" w:fill="FFFFFF"/>
          <w:lang w:val="en-US" w:eastAsia="zh-CN"/>
        </w:rPr>
        <w:t>——</w:t>
      </w:r>
      <w:r>
        <w:rPr>
          <w:rStyle w:val="16"/>
          <w:rFonts w:hint="default" w:ascii="仿宋_GB2312" w:hAnsi="微软雅黑" w:eastAsia="仿宋_GB2312" w:cs="仿宋_GB2312"/>
          <w:i w:val="0"/>
          <w:iCs w:val="0"/>
          <w:caps w:val="0"/>
          <w:color w:val="000000"/>
          <w:spacing w:val="0"/>
          <w:sz w:val="31"/>
          <w:szCs w:val="31"/>
          <w:shd w:val="clear" w:fill="FFFFFF"/>
          <w:lang w:val="en-US" w:eastAsia="zh-CN"/>
        </w:rPr>
        <w:t>优化支出、保障重点。</w:t>
      </w:r>
      <w:r>
        <w:rPr>
          <w:rFonts w:hint="eastAsia" w:ascii="仿宋_GB2312" w:eastAsia="仿宋_GB2312"/>
          <w:color w:val="000000"/>
          <w:sz w:val="32"/>
          <w:lang w:val="en-US" w:eastAsia="zh-CN"/>
        </w:rPr>
        <w:t>习惯</w:t>
      </w:r>
      <w:r>
        <w:rPr>
          <w:rFonts w:hint="default" w:ascii="仿宋_GB2312" w:hAnsi="Calibri" w:eastAsia="仿宋_GB2312"/>
          <w:color w:val="000000"/>
          <w:sz w:val="32"/>
          <w:lang w:val="en-US" w:eastAsia="zh-CN"/>
        </w:rPr>
        <w:t>过紧日子，从严控制一般性支出。严肃财经纪律，持续优化财政支出结构，着力保障</w:t>
      </w:r>
      <w:r>
        <w:rPr>
          <w:rFonts w:hint="eastAsia" w:ascii="仿宋_GB2312" w:eastAsia="仿宋_GB2312"/>
          <w:color w:val="000000"/>
          <w:sz w:val="32"/>
          <w:lang w:val="en-US" w:eastAsia="zh-CN"/>
        </w:rPr>
        <w:t>“三保”</w:t>
      </w:r>
      <w:r>
        <w:rPr>
          <w:rFonts w:hint="default" w:ascii="仿宋_GB2312" w:hAnsi="Calibri" w:eastAsia="仿宋_GB2312"/>
          <w:color w:val="000000"/>
          <w:sz w:val="32"/>
          <w:lang w:val="en-US" w:eastAsia="zh-CN"/>
        </w:rPr>
        <w:t>等重点支出。</w:t>
      </w:r>
    </w:p>
    <w:p w14:paraId="00866AB2">
      <w:pPr>
        <w:keepNext w:val="0"/>
        <w:keepLines w:val="0"/>
        <w:pageBreakBefore w:val="0"/>
        <w:kinsoku/>
        <w:topLinePunct w:val="0"/>
        <w:autoSpaceDE/>
        <w:autoSpaceDN/>
        <w:bidi w:val="0"/>
        <w:spacing w:line="560" w:lineRule="exact"/>
        <w:ind w:firstLine="622" w:firstLineChars="200"/>
        <w:jc w:val="both"/>
        <w:textAlignment w:val="auto"/>
        <w:rPr>
          <w:rFonts w:hint="default" w:ascii="仿宋_GB2312" w:hAnsi="Calibri" w:eastAsia="仿宋_GB2312"/>
          <w:color w:val="000000"/>
          <w:spacing w:val="6"/>
          <w:sz w:val="32"/>
          <w:lang w:val="en-US" w:eastAsia="zh-CN"/>
        </w:rPr>
      </w:pPr>
      <w:r>
        <w:rPr>
          <w:rStyle w:val="16"/>
          <w:rFonts w:hint="default" w:ascii="黑体" w:hAnsi="黑体" w:eastAsia="黑体" w:cs="黑体"/>
          <w:i w:val="0"/>
          <w:iCs w:val="0"/>
          <w:caps w:val="0"/>
          <w:color w:val="000000"/>
          <w:spacing w:val="0"/>
          <w:sz w:val="31"/>
          <w:szCs w:val="31"/>
          <w:shd w:val="clear" w:fill="FFFFFF"/>
          <w:lang w:val="en-US" w:eastAsia="zh-CN"/>
        </w:rPr>
        <w:t>—</w:t>
      </w:r>
      <w:bookmarkStart w:id="0" w:name="_GoBack"/>
      <w:r>
        <w:rPr>
          <w:rStyle w:val="16"/>
          <w:rFonts w:hint="default" w:ascii="黑体" w:hAnsi="黑体" w:eastAsia="黑体" w:cs="黑体"/>
          <w:i w:val="0"/>
          <w:iCs w:val="0"/>
          <w:caps w:val="0"/>
          <w:color w:val="000000"/>
          <w:spacing w:val="0"/>
          <w:sz w:val="31"/>
          <w:szCs w:val="31"/>
          <w:shd w:val="clear" w:fill="FFFFFF"/>
          <w:lang w:val="en-US" w:eastAsia="zh-CN"/>
        </w:rPr>
        <w:t>—</w:t>
      </w:r>
      <w:bookmarkEnd w:id="0"/>
      <w:r>
        <w:rPr>
          <w:rFonts w:hint="default" w:ascii="仿宋_GB2312" w:hAnsi="Calibri" w:eastAsia="仿宋_GB2312"/>
          <w:b/>
          <w:bCs/>
          <w:color w:val="000000"/>
          <w:sz w:val="32"/>
          <w:lang w:val="en-US" w:eastAsia="zh-CN"/>
        </w:rPr>
        <w:t>深化改革、注重绩效。</w:t>
      </w:r>
      <w:r>
        <w:rPr>
          <w:rFonts w:hint="default" w:ascii="仿宋_GB2312" w:hAnsi="Calibri" w:eastAsia="仿宋_GB2312"/>
          <w:color w:val="000000"/>
          <w:spacing w:val="6"/>
          <w:sz w:val="32"/>
          <w:lang w:val="en-US" w:eastAsia="zh-CN"/>
        </w:rPr>
        <w:t>持续深化预算管理制度改革，强化绩效评价结果应用，切实提高财政资金使用效益和资源配置。</w:t>
      </w:r>
    </w:p>
    <w:p w14:paraId="31BD04A8">
      <w:pPr>
        <w:keepNext w:val="0"/>
        <w:keepLines w:val="0"/>
        <w:pageBreakBefore w:val="0"/>
        <w:kinsoku/>
        <w:topLinePunct w:val="0"/>
        <w:autoSpaceDE/>
        <w:autoSpaceDN/>
        <w:bidi w:val="0"/>
        <w:spacing w:line="560" w:lineRule="exact"/>
        <w:ind w:firstLine="622" w:firstLineChars="200"/>
        <w:jc w:val="both"/>
        <w:textAlignment w:val="auto"/>
        <w:rPr>
          <w:rFonts w:hint="default" w:ascii="仿宋_GB2312" w:hAnsi="Calibri" w:eastAsia="仿宋_GB2312"/>
          <w:color w:val="000000"/>
          <w:sz w:val="32"/>
          <w:lang w:val="en-US" w:eastAsia="zh-CN"/>
        </w:rPr>
      </w:pPr>
      <w:r>
        <w:rPr>
          <w:rStyle w:val="16"/>
          <w:rFonts w:hint="default" w:ascii="黑体" w:hAnsi="黑体" w:eastAsia="黑体" w:cs="黑体"/>
          <w:i w:val="0"/>
          <w:iCs w:val="0"/>
          <w:caps w:val="0"/>
          <w:color w:val="000000"/>
          <w:spacing w:val="0"/>
          <w:sz w:val="31"/>
          <w:szCs w:val="31"/>
          <w:shd w:val="clear" w:fill="FFFFFF"/>
          <w:lang w:val="en-US" w:eastAsia="zh-CN"/>
        </w:rPr>
        <w:t>——</w:t>
      </w:r>
      <w:r>
        <w:rPr>
          <w:rFonts w:hint="default" w:ascii="仿宋_GB2312" w:hAnsi="Calibri" w:eastAsia="仿宋_GB2312"/>
          <w:b/>
          <w:bCs/>
          <w:color w:val="000000"/>
          <w:sz w:val="32"/>
          <w:lang w:val="en-US" w:eastAsia="zh-CN"/>
        </w:rPr>
        <w:t>防范风险、兜牢底线。</w:t>
      </w:r>
      <w:r>
        <w:rPr>
          <w:rFonts w:hint="default" w:ascii="仿宋_GB2312" w:hAnsi="Calibri" w:eastAsia="仿宋_GB2312"/>
          <w:color w:val="000000"/>
          <w:sz w:val="32"/>
          <w:lang w:val="en-US" w:eastAsia="zh-CN"/>
        </w:rPr>
        <w:t>加强财会日常监管，主动接受人大、审计、社会监督。牢固树立底线意识和红线意识，注重有效防范化解财政领域风险，抓早抓小、分类施策，牢牢守住不发生系统性风险底线。</w:t>
      </w:r>
    </w:p>
    <w:p w14:paraId="05FB2897">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ascii="楷体_GB2312" w:eastAsia="楷体_GB2312" w:cs="楷体_GB2312"/>
          <w:b/>
          <w:bCs/>
          <w:color w:val="000000" w:themeColor="text1"/>
          <w:sz w:val="32"/>
          <w:szCs w:val="32"/>
          <w:highlight w:val="none"/>
          <w14:textFill>
            <w14:solidFill>
              <w14:schemeClr w14:val="tx1"/>
            </w14:solidFill>
          </w14:textFill>
        </w:rPr>
      </w:pPr>
      <w:r>
        <w:rPr>
          <w:rFonts w:hint="eastAsia" w:ascii="楷体_GB2312" w:eastAsia="楷体_GB2312" w:cs="楷体_GB2312"/>
          <w:b/>
          <w:bCs/>
          <w:color w:val="000000" w:themeColor="text1"/>
          <w:sz w:val="32"/>
          <w:szCs w:val="32"/>
          <w:highlight w:val="none"/>
          <w14:textFill>
            <w14:solidFill>
              <w14:schemeClr w14:val="tx1"/>
            </w14:solidFill>
          </w14:textFill>
        </w:rPr>
        <w:t>（三）202</w:t>
      </w:r>
      <w:r>
        <w:rPr>
          <w:rFonts w:hint="eastAsia" w:ascii="楷体_GB2312" w:eastAsia="楷体_GB2312" w:cs="楷体_GB2312"/>
          <w:b/>
          <w:bCs/>
          <w:color w:val="000000" w:themeColor="text1"/>
          <w:sz w:val="32"/>
          <w:szCs w:val="32"/>
          <w:highlight w:val="none"/>
          <w:lang w:val="en-US" w:eastAsia="zh-CN"/>
          <w14:textFill>
            <w14:solidFill>
              <w14:schemeClr w14:val="tx1"/>
            </w14:solidFill>
          </w14:textFill>
        </w:rPr>
        <w:t>5</w:t>
      </w:r>
      <w:r>
        <w:rPr>
          <w:rFonts w:hint="eastAsia" w:ascii="楷体_GB2312" w:eastAsia="楷体_GB2312" w:cs="楷体_GB2312"/>
          <w:b/>
          <w:bCs/>
          <w:color w:val="000000" w:themeColor="text1"/>
          <w:sz w:val="32"/>
          <w:szCs w:val="32"/>
          <w:highlight w:val="none"/>
          <w14:textFill>
            <w14:solidFill>
              <w14:schemeClr w14:val="tx1"/>
            </w14:solidFill>
          </w14:textFill>
        </w:rPr>
        <w:t>年县级财政预算（草案）</w:t>
      </w:r>
    </w:p>
    <w:p w14:paraId="4438C723">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1.</w:t>
      </w:r>
      <w:r>
        <w:rPr>
          <w:rFonts w:hint="eastAsia" w:ascii="仿宋_GB2312" w:eastAsia="仿宋_GB2312" w:cs="仿宋_GB2312"/>
          <w:b/>
          <w:bCs/>
          <w:color w:val="000000" w:themeColor="text1"/>
          <w:sz w:val="32"/>
          <w:szCs w:val="32"/>
          <w:highlight w:val="none"/>
          <w14:textFill>
            <w14:solidFill>
              <w14:schemeClr w14:val="tx1"/>
            </w14:solidFill>
          </w14:textFill>
        </w:rPr>
        <w:t>一般公共预算。</w:t>
      </w:r>
      <w:r>
        <w:rPr>
          <w:rFonts w:hint="eastAsia" w:ascii="仿宋_GB2312" w:eastAsia="仿宋_GB2312" w:cs="仿宋_GB2312"/>
          <w:color w:val="000000" w:themeColor="text1"/>
          <w:sz w:val="32"/>
          <w:szCs w:val="32"/>
          <w:highlight w:val="none"/>
          <w14:textFill>
            <w14:solidFill>
              <w14:schemeClr w14:val="tx1"/>
            </w14:solidFill>
          </w14:textFill>
        </w:rPr>
        <w:t>建议县级一般公共预算收入同口径增长6</w:t>
      </w:r>
      <w:r>
        <w:rPr>
          <w:rFonts w:ascii="仿宋_GB2312" w:eastAsia="仿宋_GB2312" w:cs="仿宋_GB2312"/>
          <w:color w:val="000000" w:themeColor="text1"/>
          <w:sz w:val="32"/>
          <w:szCs w:val="32"/>
          <w:highlight w:val="none"/>
          <w14:textFill>
            <w14:solidFill>
              <w14:schemeClr w14:val="tx1"/>
            </w14:solidFill>
          </w14:textFill>
        </w:rPr>
        <w:t>.5</w:t>
      </w:r>
      <w:r>
        <w:rPr>
          <w:rFonts w:hint="eastAsia" w:ascii="仿宋_GB2312" w:eastAsia="仿宋_GB2312" w:cs="仿宋_GB2312"/>
          <w:color w:val="000000" w:themeColor="text1"/>
          <w:sz w:val="32"/>
          <w:szCs w:val="32"/>
          <w:highlight w:val="none"/>
          <w14:textFill>
            <w14:solidFill>
              <w14:schemeClr w14:val="tx1"/>
            </w14:solidFill>
          </w14:textFill>
        </w:rPr>
        <w:t>%，达到</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36230</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加上级</w:t>
      </w:r>
      <w:r>
        <w:rPr>
          <w:rFonts w:ascii="仿宋_GB2312" w:eastAsia="仿宋_GB2312" w:cs="仿宋_GB2312"/>
          <w:color w:val="000000" w:themeColor="text1"/>
          <w:sz w:val="32"/>
          <w:szCs w:val="32"/>
          <w:highlight w:val="none"/>
          <w14:textFill>
            <w14:solidFill>
              <w14:schemeClr w14:val="tx1"/>
            </w14:solidFill>
          </w14:textFill>
        </w:rPr>
        <w:t>各类</w:t>
      </w:r>
      <w:r>
        <w:rPr>
          <w:rFonts w:hint="eastAsia" w:ascii="仿宋_GB2312" w:eastAsia="仿宋_GB2312" w:cs="仿宋_GB2312"/>
          <w:color w:val="000000" w:themeColor="text1"/>
          <w:sz w:val="32"/>
          <w:szCs w:val="32"/>
          <w:highlight w:val="none"/>
          <w14:textFill>
            <w14:solidFill>
              <w14:schemeClr w14:val="tx1"/>
            </w14:solidFill>
          </w14:textFill>
        </w:rPr>
        <w:t>转移</w:t>
      </w:r>
      <w:r>
        <w:rPr>
          <w:rFonts w:ascii="仿宋_GB2312" w:eastAsia="仿宋_GB2312" w:cs="仿宋_GB2312"/>
          <w:color w:val="000000" w:themeColor="text1"/>
          <w:sz w:val="32"/>
          <w:szCs w:val="32"/>
          <w:highlight w:val="none"/>
          <w14:textFill>
            <w14:solidFill>
              <w14:schemeClr w14:val="tx1"/>
            </w14:solidFill>
          </w14:textFill>
        </w:rPr>
        <w:t>性补助收入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111276万元</w:t>
      </w:r>
      <w:r>
        <w:rPr>
          <w:rFonts w:hint="eastAsia" w:ascii="仿宋_GB2312" w:eastAsia="仿宋_GB2312" w:cs="仿宋_GB2312"/>
          <w:color w:val="000000" w:themeColor="text1"/>
          <w:sz w:val="32"/>
          <w:szCs w:val="32"/>
          <w:highlight w:val="none"/>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上年结转</w:t>
      </w:r>
      <w:r>
        <w:rPr>
          <w:rFonts w:hint="eastAsia" w:ascii="仿宋_GB2312" w:eastAsia="仿宋_GB2312" w:cs="仿宋_GB2312"/>
          <w:color w:val="000000" w:themeColor="text1"/>
          <w:sz w:val="32"/>
          <w:szCs w:val="32"/>
          <w:highlight w:val="none"/>
          <w:lang w:eastAsia="zh-CN"/>
          <w14:textFill>
            <w14:solidFill>
              <w14:schemeClr w14:val="tx1"/>
            </w14:solidFill>
          </w14:textFill>
        </w:rPr>
        <w:t>结余</w:t>
      </w:r>
      <w:r>
        <w:rPr>
          <w:rFonts w:ascii="仿宋_GB2312" w:eastAsia="仿宋_GB2312" w:cs="仿宋_GB2312"/>
          <w:color w:val="000000" w:themeColor="text1"/>
          <w:sz w:val="32"/>
          <w:szCs w:val="32"/>
          <w:highlight w:val="none"/>
          <w14:textFill>
            <w14:solidFill>
              <w14:schemeClr w14:val="tx1"/>
            </w14:solidFill>
          </w14:textFill>
        </w:rPr>
        <w:t>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34613万元</w:t>
      </w:r>
      <w:r>
        <w:rPr>
          <w:rFonts w:hint="eastAsia" w:ascii="仿宋_GB2312" w:eastAsia="仿宋_GB2312" w:cs="仿宋_GB2312"/>
          <w:color w:val="000000" w:themeColor="text1"/>
          <w:sz w:val="32"/>
          <w:szCs w:val="32"/>
          <w:highlight w:val="none"/>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一般公共预算收入</w:t>
      </w:r>
      <w:r>
        <w:rPr>
          <w:rFonts w:hint="eastAsia" w:ascii="仿宋_GB2312" w:eastAsia="仿宋_GB2312" w:cs="仿宋_GB2312"/>
          <w:color w:val="000000" w:themeColor="text1"/>
          <w:sz w:val="32"/>
          <w:szCs w:val="32"/>
          <w:highlight w:val="none"/>
          <w:lang w:eastAsia="zh-CN"/>
          <w14:textFill>
            <w14:solidFill>
              <w14:schemeClr w14:val="tx1"/>
            </w14:solidFill>
          </w14:textFill>
        </w:rPr>
        <w:t>总量</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182119</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ascii="仿宋_GB2312" w:eastAsia="仿宋_GB2312" w:cs="仿宋_GB2312"/>
          <w:color w:val="000000" w:themeColor="text1"/>
          <w:sz w:val="32"/>
          <w:szCs w:val="32"/>
          <w:highlight w:val="none"/>
          <w14:textFill>
            <w14:solidFill>
              <w14:schemeClr w14:val="tx1"/>
            </w14:solidFill>
          </w14:textFill>
        </w:rPr>
        <w:t>按照收支平衡原则，收入总量扣除上解上级支出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7154万元</w:t>
      </w:r>
      <w:r>
        <w:rPr>
          <w:rFonts w:hint="eastAsia" w:ascii="仿宋_GB2312" w:eastAsia="仿宋_GB2312" w:cs="仿宋_GB2312"/>
          <w:color w:val="000000" w:themeColor="text1"/>
          <w:sz w:val="32"/>
          <w:szCs w:val="32"/>
          <w:highlight w:val="none"/>
          <w14:textFill>
            <w14:solidFill>
              <w14:schemeClr w14:val="tx1"/>
            </w14:solidFill>
          </w14:textFill>
        </w:rPr>
        <w:t>、一般债务还本支出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358</w:t>
      </w:r>
      <w:r>
        <w:rPr>
          <w:rFonts w:ascii="仿宋_GB2312" w:eastAsia="仿宋_GB2312" w:cs="仿宋_GB2312"/>
          <w:color w:val="000000" w:themeColor="text1"/>
          <w:sz w:val="32"/>
          <w:szCs w:val="32"/>
          <w:highlight w:val="none"/>
          <w14:textFill>
            <w14:solidFill>
              <w14:schemeClr w14:val="tx1"/>
            </w14:solidFill>
          </w14:textFill>
        </w:rPr>
        <w:t>万元后，全县一般公共预算支出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174607</w:t>
      </w:r>
      <w:r>
        <w:rPr>
          <w:rFonts w:ascii="仿宋_GB2312" w:eastAsia="仿宋_GB2312" w:cs="仿宋_GB2312"/>
          <w:color w:val="000000" w:themeColor="text1"/>
          <w:sz w:val="32"/>
          <w:szCs w:val="32"/>
          <w:highlight w:val="none"/>
          <w14:textFill>
            <w14:solidFill>
              <w14:schemeClr w14:val="tx1"/>
            </w14:solidFill>
          </w14:textFill>
        </w:rPr>
        <w:t>万元（其中，县本级财力安排</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101526</w:t>
      </w:r>
      <w:r>
        <w:rPr>
          <w:rFonts w:ascii="仿宋_GB2312" w:eastAsia="仿宋_GB2312" w:cs="仿宋_GB2312"/>
          <w:color w:val="000000" w:themeColor="text1"/>
          <w:sz w:val="32"/>
          <w:szCs w:val="32"/>
          <w:highlight w:val="none"/>
          <w14:textFill>
            <w14:solidFill>
              <w14:schemeClr w14:val="tx1"/>
            </w14:solidFill>
          </w14:textFill>
        </w:rPr>
        <w:t>万元，上级财政提前下达的共同财政事权转移支付和专项转移支付支出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38468</w:t>
      </w:r>
      <w:r>
        <w:rPr>
          <w:rFonts w:ascii="仿宋_GB2312" w:eastAsia="仿宋_GB2312" w:cs="仿宋_GB2312"/>
          <w:color w:val="000000" w:themeColor="text1"/>
          <w:sz w:val="32"/>
          <w:szCs w:val="32"/>
          <w:highlight w:val="none"/>
          <w14:textFill>
            <w14:solidFill>
              <w14:schemeClr w14:val="tx1"/>
            </w14:solidFill>
          </w14:textFill>
        </w:rPr>
        <w:t>万元，上年结转支出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34613</w:t>
      </w:r>
      <w:r>
        <w:rPr>
          <w:rFonts w:ascii="仿宋_GB2312" w:eastAsia="仿宋_GB2312" w:cs="仿宋_GB2312"/>
          <w:color w:val="000000" w:themeColor="text1"/>
          <w:sz w:val="32"/>
          <w:szCs w:val="32"/>
          <w:highlight w:val="none"/>
          <w14:textFill>
            <w14:solidFill>
              <w14:schemeClr w14:val="tx1"/>
            </w14:solidFill>
          </w14:textFill>
        </w:rPr>
        <w:t>万元）。</w:t>
      </w:r>
    </w:p>
    <w:p w14:paraId="44DEF154">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eastAsia="仿宋_GB2312" w:cs="仿宋_GB2312"/>
          <w:color w:val="000000" w:themeColor="text1"/>
          <w:sz w:val="32"/>
          <w:szCs w:val="32"/>
          <w:highlight w:val="none"/>
          <w14:textFill>
            <w14:solidFill>
              <w14:schemeClr w14:val="tx1"/>
            </w14:solidFill>
          </w14:textFill>
        </w:rPr>
        <w:t>县</w:t>
      </w:r>
      <w:r>
        <w:rPr>
          <w:rFonts w:ascii="仿宋_GB2312" w:eastAsia="仿宋_GB2312" w:cs="仿宋_GB2312"/>
          <w:color w:val="000000" w:themeColor="text1"/>
          <w:sz w:val="32"/>
          <w:szCs w:val="32"/>
          <w:highlight w:val="none"/>
          <w14:textFill>
            <w14:solidFill>
              <w14:schemeClr w14:val="tx1"/>
            </w14:solidFill>
          </w14:textFill>
        </w:rPr>
        <w:t>本</w:t>
      </w:r>
      <w:r>
        <w:rPr>
          <w:rFonts w:hint="eastAsia" w:ascii="仿宋_GB2312" w:eastAsia="仿宋_GB2312" w:cs="仿宋_GB2312"/>
          <w:color w:val="000000" w:themeColor="text1"/>
          <w:sz w:val="32"/>
          <w:szCs w:val="32"/>
          <w:highlight w:val="none"/>
          <w14:textFill>
            <w14:solidFill>
              <w14:schemeClr w14:val="tx1"/>
            </w14:solidFill>
          </w14:textFill>
        </w:rPr>
        <w:t>级财力安排支出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101526</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ascii="仿宋_GB2312" w:eastAsia="仿宋_GB2312" w:cs="仿宋_GB2312"/>
          <w:color w:val="000000" w:themeColor="text1"/>
          <w:sz w:val="32"/>
          <w:szCs w:val="32"/>
          <w:highlight w:val="none"/>
          <w14:textFill>
            <w14:solidFill>
              <w14:schemeClr w14:val="tx1"/>
            </w14:solidFill>
          </w14:textFill>
        </w:rPr>
        <w:t>的主要投向</w:t>
      </w:r>
      <w:r>
        <w:rPr>
          <w:rFonts w:hint="eastAsia" w:ascii="仿宋_GB2312" w:eastAsia="仿宋_GB2312" w:cs="仿宋_GB2312"/>
          <w:color w:val="000000" w:themeColor="text1"/>
          <w:sz w:val="32"/>
          <w:szCs w:val="32"/>
          <w:highlight w:val="none"/>
          <w14:textFill>
            <w14:solidFill>
              <w14:schemeClr w14:val="tx1"/>
            </w14:solidFill>
          </w14:textFill>
        </w:rPr>
        <w:t>是</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p>
    <w:p w14:paraId="1245C73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color w:val="000000" w:themeColor="text1"/>
          <w:sz w:val="32"/>
          <w:szCs w:val="32"/>
          <w:highlight w:val="none"/>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1</w:t>
      </w:r>
      <w:r>
        <w:rPr>
          <w:rFonts w:hint="eastAsia" w:ascii="仿宋_GB2312" w:eastAsia="仿宋_GB2312" w:cs="仿宋_GB2312"/>
          <w:color w:val="000000" w:themeColor="text1"/>
          <w:sz w:val="32"/>
          <w:szCs w:val="32"/>
          <w:highlight w:val="none"/>
          <w14:textFill>
            <w14:solidFill>
              <w14:schemeClr w14:val="tx1"/>
            </w14:solidFill>
          </w14:textFill>
        </w:rPr>
        <w:t>）基本支出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63680万</w:t>
      </w:r>
      <w:r>
        <w:rPr>
          <w:rFonts w:hint="eastAsia" w:ascii="仿宋_GB2312" w:eastAsia="仿宋_GB2312" w:cs="仿宋_GB2312"/>
          <w:color w:val="000000" w:themeColor="text1"/>
          <w:sz w:val="32"/>
          <w:szCs w:val="32"/>
          <w:highlight w:val="none"/>
          <w14:textFill>
            <w14:solidFill>
              <w14:schemeClr w14:val="tx1"/>
            </w14:solidFill>
          </w14:textFill>
        </w:rPr>
        <w:t>元，占</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62.72</w:t>
      </w:r>
      <w:r>
        <w:rPr>
          <w:rFonts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。主要安排机关事业单位人员工资、地方性津补贴、社会保险缴费、公务员医疗补助、离休人员工资、取暖费、遗属生活费、医疗保险缴费等对个人和家庭补助支出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11535万</w:t>
      </w:r>
      <w:r>
        <w:rPr>
          <w:rFonts w:hint="eastAsia" w:ascii="仿宋_GB2312" w:eastAsia="仿宋_GB2312" w:cs="仿宋_GB2312"/>
          <w:color w:val="000000" w:themeColor="text1"/>
          <w:sz w:val="32"/>
          <w:szCs w:val="32"/>
          <w:highlight w:val="none"/>
          <w14:textFill>
            <w14:solidFill>
              <w14:schemeClr w14:val="tx1"/>
            </w14:solidFill>
          </w14:textFill>
        </w:rPr>
        <w:t>元</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安排机关运转经费</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5827万</w:t>
      </w:r>
      <w:r>
        <w:rPr>
          <w:rFonts w:hint="eastAsia" w:ascii="仿宋_GB2312" w:eastAsia="仿宋_GB2312" w:cs="仿宋_GB2312"/>
          <w:color w:val="000000" w:themeColor="text1"/>
          <w:sz w:val="32"/>
          <w:szCs w:val="32"/>
          <w:highlight w:val="none"/>
          <w14:textFill>
            <w14:solidFill>
              <w14:schemeClr w14:val="tx1"/>
            </w14:solidFill>
          </w14:textFill>
        </w:rPr>
        <w:t>元。</w:t>
      </w:r>
    </w:p>
    <w:p w14:paraId="05980AA4">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eastAsia="仿宋_GB2312"/>
          <w:color w:val="000000" w:themeColor="text1"/>
          <w:sz w:val="32"/>
          <w:szCs w:val="32"/>
          <w:highlight w:val="yellow"/>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202</w:t>
      </w:r>
      <w:r>
        <w:rPr>
          <w:rFonts w:hint="eastAsia" w:ascii="仿宋_GB2312" w:eastAsia="仿宋_GB2312"/>
          <w:color w:val="000000" w:themeColor="text1"/>
          <w:sz w:val="32"/>
          <w:szCs w:val="32"/>
          <w:highlight w:val="none"/>
          <w:lang w:val="en-US" w:eastAsia="zh-CN"/>
          <w14:textFill>
            <w14:solidFill>
              <w14:schemeClr w14:val="tx1"/>
            </w14:solidFill>
          </w14:textFill>
        </w:rPr>
        <w:t>5</w:t>
      </w:r>
      <w:r>
        <w:rPr>
          <w:rFonts w:hint="eastAsia" w:ascii="仿宋_GB2312" w:eastAsia="仿宋_GB2312"/>
          <w:color w:val="000000" w:themeColor="text1"/>
          <w:sz w:val="32"/>
          <w:szCs w:val="32"/>
          <w:highlight w:val="none"/>
          <w14:textFill>
            <w14:solidFill>
              <w14:schemeClr w14:val="tx1"/>
            </w14:solidFill>
          </w14:textFill>
        </w:rPr>
        <w:t>年预算安排“三保”支出</w:t>
      </w:r>
      <w:r>
        <w:rPr>
          <w:rFonts w:hint="eastAsia" w:ascii="仿宋_GB2312" w:eastAsia="仿宋_GB2312"/>
          <w:color w:val="000000" w:themeColor="text1"/>
          <w:sz w:val="32"/>
          <w:szCs w:val="32"/>
          <w:highlight w:val="none"/>
          <w:lang w:val="en-US" w:eastAsia="zh-CN"/>
          <w14:textFill>
            <w14:solidFill>
              <w14:schemeClr w14:val="tx1"/>
            </w14:solidFill>
          </w14:textFill>
        </w:rPr>
        <w:t>52145</w:t>
      </w:r>
      <w:r>
        <w:rPr>
          <w:rFonts w:hint="eastAsia" w:ascii="仿宋_GB2312" w:eastAsia="仿宋_GB2312"/>
          <w:color w:val="000000" w:themeColor="text1"/>
          <w:sz w:val="32"/>
          <w:szCs w:val="32"/>
          <w:highlight w:val="none"/>
          <w14:textFill>
            <w14:solidFill>
              <w14:schemeClr w14:val="tx1"/>
            </w14:solidFill>
          </w14:textFill>
        </w:rPr>
        <w:t>万元，其中</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保基本民生支出</w:t>
      </w:r>
      <w:r>
        <w:rPr>
          <w:rFonts w:hint="eastAsia" w:ascii="仿宋_GB2312" w:eastAsia="仿宋_GB2312"/>
          <w:color w:val="000000" w:themeColor="text1"/>
          <w:sz w:val="32"/>
          <w:szCs w:val="32"/>
          <w:highlight w:val="none"/>
          <w:lang w:val="en-US" w:eastAsia="zh-CN"/>
          <w14:textFill>
            <w14:solidFill>
              <w14:schemeClr w14:val="tx1"/>
            </w14:solidFill>
          </w14:textFill>
        </w:rPr>
        <w:t>9067</w:t>
      </w:r>
      <w:r>
        <w:rPr>
          <w:rFonts w:hint="eastAsia" w:ascii="仿宋_GB2312" w:eastAsia="仿宋_GB2312"/>
          <w:color w:val="000000" w:themeColor="text1"/>
          <w:sz w:val="32"/>
          <w:szCs w:val="32"/>
          <w:highlight w:val="none"/>
          <w14:textFill>
            <w14:solidFill>
              <w14:schemeClr w14:val="tx1"/>
            </w14:solidFill>
          </w14:textFill>
        </w:rPr>
        <w:t>万元、保工资支出</w:t>
      </w:r>
      <w:r>
        <w:rPr>
          <w:rFonts w:hint="eastAsia" w:ascii="仿宋_GB2312" w:eastAsia="仿宋_GB2312"/>
          <w:color w:val="000000" w:themeColor="text1"/>
          <w:sz w:val="32"/>
          <w:szCs w:val="32"/>
          <w:highlight w:val="none"/>
          <w:lang w:val="en-US" w:eastAsia="zh-CN"/>
          <w14:textFill>
            <w14:solidFill>
              <w14:schemeClr w14:val="tx1"/>
            </w14:solidFill>
          </w14:textFill>
        </w:rPr>
        <w:t>37251</w:t>
      </w:r>
      <w:r>
        <w:rPr>
          <w:rFonts w:hint="eastAsia" w:ascii="仿宋_GB2312" w:eastAsia="仿宋_GB2312"/>
          <w:color w:val="000000" w:themeColor="text1"/>
          <w:sz w:val="32"/>
          <w:szCs w:val="32"/>
          <w:highlight w:val="none"/>
          <w14:textFill>
            <w14:solidFill>
              <w14:schemeClr w14:val="tx1"/>
            </w14:solidFill>
          </w14:textFill>
        </w:rPr>
        <w:t>万元、保运转支出</w:t>
      </w:r>
      <w:r>
        <w:rPr>
          <w:rFonts w:hint="eastAsia" w:ascii="仿宋_GB2312" w:eastAsia="仿宋_GB2312"/>
          <w:color w:val="000000" w:themeColor="text1"/>
          <w:sz w:val="32"/>
          <w:szCs w:val="32"/>
          <w:highlight w:val="none"/>
          <w:lang w:val="en-US" w:eastAsia="zh-CN"/>
          <w14:textFill>
            <w14:solidFill>
              <w14:schemeClr w14:val="tx1"/>
            </w14:solidFill>
          </w14:textFill>
        </w:rPr>
        <w:t>5827</w:t>
      </w:r>
      <w:r>
        <w:rPr>
          <w:rFonts w:hint="eastAsia" w:ascii="仿宋_GB2312" w:eastAsia="仿宋_GB2312"/>
          <w:color w:val="000000" w:themeColor="text1"/>
          <w:sz w:val="32"/>
          <w:szCs w:val="32"/>
          <w:highlight w:val="none"/>
          <w14:textFill>
            <w14:solidFill>
              <w14:schemeClr w14:val="tx1"/>
            </w14:solidFill>
          </w14:textFill>
        </w:rPr>
        <w:t>万元。县级“三公”经费预算安排</w:t>
      </w:r>
      <w:r>
        <w:rPr>
          <w:rFonts w:hint="eastAsia" w:ascii="仿宋_GB2312" w:eastAsia="仿宋_GB2312"/>
          <w:color w:val="000000" w:themeColor="text1"/>
          <w:sz w:val="32"/>
          <w:szCs w:val="32"/>
          <w:highlight w:val="none"/>
          <w:lang w:val="en-US" w:eastAsia="zh-CN"/>
          <w14:textFill>
            <w14:solidFill>
              <w14:schemeClr w14:val="tx1"/>
            </w14:solidFill>
          </w14:textFill>
        </w:rPr>
        <w:t>733.22</w:t>
      </w:r>
      <w:r>
        <w:rPr>
          <w:rFonts w:hint="eastAsia" w:ascii="仿宋_GB2312" w:eastAsia="仿宋_GB2312"/>
          <w:color w:val="000000" w:themeColor="text1"/>
          <w:sz w:val="32"/>
          <w:szCs w:val="32"/>
          <w:highlight w:val="none"/>
          <w14:textFill>
            <w14:solidFill>
              <w14:schemeClr w14:val="tx1"/>
            </w14:solidFill>
          </w14:textFill>
        </w:rPr>
        <w:t>万元，</w:t>
      </w:r>
      <w:r>
        <w:rPr>
          <w:rFonts w:hint="eastAsia" w:ascii="仿宋_GB2312" w:eastAsia="仿宋_GB2312"/>
          <w:color w:val="000000" w:themeColor="text1"/>
          <w:sz w:val="32"/>
          <w:szCs w:val="32"/>
          <w:highlight w:val="none"/>
          <w:lang w:eastAsia="zh-CN"/>
          <w14:textFill>
            <w14:solidFill>
              <w14:schemeClr w14:val="tx1"/>
            </w14:solidFill>
          </w14:textFill>
        </w:rPr>
        <w:t>减少</w:t>
      </w:r>
      <w:r>
        <w:rPr>
          <w:rFonts w:hint="eastAsia" w:ascii="仿宋_GB2312" w:eastAsia="仿宋_GB2312"/>
          <w:color w:val="000000" w:themeColor="text1"/>
          <w:sz w:val="32"/>
          <w:szCs w:val="32"/>
          <w:highlight w:val="none"/>
          <w:lang w:val="en-US" w:eastAsia="zh-CN"/>
          <w14:textFill>
            <w14:solidFill>
              <w14:schemeClr w14:val="tx1"/>
            </w14:solidFill>
          </w14:textFill>
        </w:rPr>
        <w:t>43.66</w:t>
      </w:r>
      <w:r>
        <w:rPr>
          <w:rFonts w:hint="eastAsia" w:ascii="仿宋_GB2312" w:eastAsia="仿宋_GB2312"/>
          <w:color w:val="000000" w:themeColor="text1"/>
          <w:sz w:val="32"/>
          <w:szCs w:val="32"/>
          <w:highlight w:val="none"/>
          <w14:textFill>
            <w14:solidFill>
              <w14:schemeClr w14:val="tx1"/>
            </w14:solidFill>
          </w14:textFill>
        </w:rPr>
        <w:t>万元，</w:t>
      </w:r>
      <w:r>
        <w:rPr>
          <w:rFonts w:hint="eastAsia" w:ascii="仿宋_GB2312" w:eastAsia="仿宋_GB2312"/>
          <w:color w:val="000000" w:themeColor="text1"/>
          <w:sz w:val="32"/>
          <w:szCs w:val="32"/>
          <w:highlight w:val="none"/>
          <w:lang w:eastAsia="zh-CN"/>
          <w14:textFill>
            <w14:solidFill>
              <w14:schemeClr w14:val="tx1"/>
            </w14:solidFill>
          </w14:textFill>
        </w:rPr>
        <w:t>下降</w:t>
      </w:r>
      <w:r>
        <w:rPr>
          <w:rFonts w:hint="eastAsia" w:ascii="仿宋_GB2312" w:eastAsia="仿宋_GB2312"/>
          <w:color w:val="000000" w:themeColor="text1"/>
          <w:sz w:val="32"/>
          <w:szCs w:val="32"/>
          <w:highlight w:val="none"/>
          <w:lang w:val="en-US" w:eastAsia="zh-CN"/>
          <w14:textFill>
            <w14:solidFill>
              <w14:schemeClr w14:val="tx1"/>
            </w14:solidFill>
          </w14:textFill>
        </w:rPr>
        <w:t>5.62</w:t>
      </w:r>
      <w:r>
        <w:rPr>
          <w:rFonts w:hint="eastAsia"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其中</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公务接待费</w:t>
      </w:r>
      <w:r>
        <w:rPr>
          <w:rFonts w:hint="eastAsia" w:ascii="仿宋_GB2312" w:eastAsia="仿宋_GB2312"/>
          <w:color w:val="000000" w:themeColor="text1"/>
          <w:sz w:val="32"/>
          <w:szCs w:val="32"/>
          <w:highlight w:val="none"/>
          <w:lang w:val="en-US" w:eastAsia="zh-CN"/>
          <w14:textFill>
            <w14:solidFill>
              <w14:schemeClr w14:val="tx1"/>
            </w14:solidFill>
          </w14:textFill>
        </w:rPr>
        <w:t>178.73</w:t>
      </w:r>
      <w:r>
        <w:rPr>
          <w:rFonts w:hint="eastAsia" w:ascii="仿宋_GB2312" w:eastAsia="仿宋_GB2312"/>
          <w:color w:val="000000" w:themeColor="text1"/>
          <w:sz w:val="32"/>
          <w:szCs w:val="32"/>
          <w:highlight w:val="none"/>
          <w14:textFill>
            <w14:solidFill>
              <w14:schemeClr w14:val="tx1"/>
            </w14:solidFill>
          </w14:textFill>
        </w:rPr>
        <w:t>万元，公务用车购置及运行维护费</w:t>
      </w:r>
      <w:r>
        <w:rPr>
          <w:rFonts w:hint="eastAsia" w:ascii="仿宋_GB2312" w:eastAsia="仿宋_GB2312"/>
          <w:color w:val="000000" w:themeColor="text1"/>
          <w:sz w:val="32"/>
          <w:szCs w:val="32"/>
          <w:highlight w:val="none"/>
          <w:lang w:val="en-US" w:eastAsia="zh-CN"/>
          <w14:textFill>
            <w14:solidFill>
              <w14:schemeClr w14:val="tx1"/>
            </w14:solidFill>
          </w14:textFill>
        </w:rPr>
        <w:t>554.49</w:t>
      </w:r>
      <w:r>
        <w:rPr>
          <w:rFonts w:hint="eastAsia" w:ascii="仿宋_GB2312" w:eastAsia="仿宋_GB2312"/>
          <w:color w:val="000000" w:themeColor="text1"/>
          <w:sz w:val="32"/>
          <w:szCs w:val="32"/>
          <w:highlight w:val="none"/>
          <w14:textFill>
            <w14:solidFill>
              <w14:schemeClr w14:val="tx1"/>
            </w14:solidFill>
          </w14:textFill>
        </w:rPr>
        <w:t>万元。</w:t>
      </w:r>
    </w:p>
    <w:p w14:paraId="04D8CB4C">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color w:val="000000" w:themeColor="text1"/>
          <w:sz w:val="32"/>
          <w:szCs w:val="32"/>
          <w:highlight w:val="none"/>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2</w:t>
      </w:r>
      <w:r>
        <w:rPr>
          <w:rFonts w:hint="eastAsia" w:ascii="仿宋_GB2312" w:eastAsia="仿宋_GB2312" w:cs="仿宋_GB2312"/>
          <w:color w:val="000000" w:themeColor="text1"/>
          <w:sz w:val="32"/>
          <w:szCs w:val="32"/>
          <w:highlight w:val="none"/>
          <w14:textFill>
            <w14:solidFill>
              <w14:schemeClr w14:val="tx1"/>
            </w14:solidFill>
          </w14:textFill>
        </w:rPr>
        <w:t>）项目支出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37846万</w:t>
      </w:r>
      <w:r>
        <w:rPr>
          <w:rFonts w:hint="eastAsia" w:ascii="仿宋_GB2312" w:eastAsia="仿宋_GB2312" w:cs="仿宋_GB2312"/>
          <w:color w:val="000000" w:themeColor="text1"/>
          <w:sz w:val="32"/>
          <w:szCs w:val="32"/>
          <w:highlight w:val="none"/>
          <w14:textFill>
            <w14:solidFill>
              <w14:schemeClr w14:val="tx1"/>
            </w14:solidFill>
          </w14:textFill>
        </w:rPr>
        <w:t>元，占</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37.28</w:t>
      </w:r>
      <w:r>
        <w:rPr>
          <w:rFonts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。重点用于基本公共服务财政事权与支出责任划分涉及的教育、就业、养老、医疗、卫生、</w:t>
      </w:r>
      <w:r>
        <w:rPr>
          <w:rFonts w:hint="eastAsia" w:ascii="仿宋_GB2312" w:eastAsia="仿宋_GB2312" w:cs="仿宋_GB2312"/>
          <w:color w:val="000000" w:themeColor="text1"/>
          <w:sz w:val="32"/>
          <w:szCs w:val="32"/>
          <w:highlight w:val="none"/>
          <w:lang w:eastAsia="zh-CN"/>
          <w14:textFill>
            <w14:solidFill>
              <w14:schemeClr w14:val="tx1"/>
            </w14:solidFill>
          </w14:textFill>
        </w:rPr>
        <w:t>社会</w:t>
      </w:r>
      <w:r>
        <w:rPr>
          <w:rFonts w:hint="eastAsia" w:ascii="仿宋_GB2312" w:eastAsia="仿宋_GB2312" w:cs="仿宋_GB2312"/>
          <w:color w:val="000000" w:themeColor="text1"/>
          <w:sz w:val="32"/>
          <w:szCs w:val="32"/>
          <w:highlight w:val="none"/>
          <w14:textFill>
            <w14:solidFill>
              <w14:schemeClr w14:val="tx1"/>
            </w14:solidFill>
          </w14:textFill>
        </w:rPr>
        <w:t>救助、住房保障支出，以及乡村振兴、生态保护、村级组织运转</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偿还政府债务本息</w:t>
      </w:r>
      <w:r>
        <w:rPr>
          <w:rFonts w:hint="eastAsia" w:ascii="仿宋_GB2312" w:eastAsia="仿宋_GB2312" w:cs="仿宋_GB2312"/>
          <w:color w:val="000000" w:themeColor="text1"/>
          <w:sz w:val="32"/>
          <w:szCs w:val="32"/>
          <w:highlight w:val="none"/>
          <w:lang w:eastAsia="zh-CN"/>
          <w14:textFill>
            <w14:solidFill>
              <w14:schemeClr w14:val="tx1"/>
            </w14:solidFill>
          </w14:textFill>
        </w:rPr>
        <w:t>和</w:t>
      </w:r>
      <w:r>
        <w:rPr>
          <w:rFonts w:hint="eastAsia" w:ascii="仿宋_GB2312" w:eastAsia="仿宋_GB2312" w:cs="仿宋_GB2312"/>
          <w:color w:val="000000" w:themeColor="text1"/>
          <w:sz w:val="32"/>
          <w:szCs w:val="32"/>
          <w:highlight w:val="none"/>
          <w14:textFill>
            <w14:solidFill>
              <w14:schemeClr w14:val="tx1"/>
            </w14:solidFill>
          </w14:textFill>
        </w:rPr>
        <w:t>安排预备费等方面。</w:t>
      </w:r>
    </w:p>
    <w:p w14:paraId="6A6FC61E">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14:textFill>
            <w14:solidFill>
              <w14:schemeClr w14:val="tx1"/>
            </w14:solidFill>
          </w14:textFill>
        </w:rPr>
        <w:t>2.政府性基金预算。</w:t>
      </w:r>
      <w:r>
        <w:rPr>
          <w:rFonts w:hint="eastAsia" w:ascii="仿宋_GB2312" w:eastAsia="仿宋_GB2312" w:cs="仿宋_GB2312"/>
          <w:color w:val="000000" w:themeColor="text1"/>
          <w:sz w:val="32"/>
          <w:szCs w:val="32"/>
          <w:highlight w:val="none"/>
          <w14:textFill>
            <w14:solidFill>
              <w14:schemeClr w14:val="tx1"/>
            </w14:solidFill>
          </w14:textFill>
        </w:rPr>
        <w:t>预计县级政府性基金收入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575</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hint="eastAsia" w:ascii="仿宋_GB2312" w:eastAsia="仿宋_GB2312" w:cs="仿宋_GB2312"/>
          <w:color w:val="000000" w:themeColor="text1"/>
          <w:sz w:val="32"/>
          <w:szCs w:val="32"/>
          <w:highlight w:val="none"/>
          <w:lang w:eastAsia="zh-CN"/>
          <w14:textFill>
            <w14:solidFill>
              <w14:schemeClr w14:val="tx1"/>
            </w14:solidFill>
          </w14:textFill>
        </w:rPr>
        <w:t>增长</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1.77</w:t>
      </w:r>
      <w:r>
        <w:rPr>
          <w:rFonts w:hint="eastAsia" w:ascii="仿宋_GB2312" w:eastAsia="仿宋_GB2312" w:cs="仿宋_GB2312"/>
          <w:color w:val="000000" w:themeColor="text1"/>
          <w:sz w:val="32"/>
          <w:szCs w:val="32"/>
          <w:highlight w:val="none"/>
          <w14:textFill>
            <w14:solidFill>
              <w14:schemeClr w14:val="tx1"/>
            </w14:solidFill>
          </w14:textFill>
        </w:rPr>
        <w:t>%，加上级转移支付补助收入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149万元</w:t>
      </w:r>
      <w:r>
        <w:rPr>
          <w:rFonts w:hint="eastAsia" w:ascii="仿宋_GB2312" w:eastAsia="仿宋_GB2312" w:cs="仿宋_GB2312"/>
          <w:color w:val="000000" w:themeColor="text1"/>
          <w:sz w:val="32"/>
          <w:szCs w:val="32"/>
          <w:highlight w:val="none"/>
          <w14:textFill>
            <w14:solidFill>
              <w14:schemeClr w14:val="tx1"/>
            </w14:solidFill>
          </w14:textFill>
        </w:rPr>
        <w:t>、上年结余收入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291</w:t>
      </w:r>
      <w:r>
        <w:rPr>
          <w:rFonts w:hint="eastAsia" w:ascii="仿宋_GB2312" w:eastAsia="仿宋_GB2312" w:cs="仿宋_GB2312"/>
          <w:color w:val="000000" w:themeColor="text1"/>
          <w:sz w:val="32"/>
          <w:szCs w:val="32"/>
          <w:highlight w:val="none"/>
          <w14:textFill>
            <w14:solidFill>
              <w14:schemeClr w14:val="tx1"/>
            </w14:solidFill>
          </w14:textFill>
        </w:rPr>
        <w:t>万元，政府性基金总收入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1015</w:t>
      </w:r>
      <w:r>
        <w:rPr>
          <w:rFonts w:hint="eastAsia" w:ascii="仿宋_GB2312" w:eastAsia="仿宋_GB2312" w:cs="仿宋_GB2312"/>
          <w:color w:val="000000" w:themeColor="text1"/>
          <w:sz w:val="32"/>
          <w:szCs w:val="32"/>
          <w:highlight w:val="none"/>
          <w14:textFill>
            <w14:solidFill>
              <w14:schemeClr w14:val="tx1"/>
            </w14:solidFill>
          </w14:textFill>
        </w:rPr>
        <w:t>万元。按照收支平衡原则，支出相应安排</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1015</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主要用于征地拆迁补偿支出、城市基础设施建设、污水处理专项支出、农业农村、政府</w:t>
      </w:r>
      <w:r>
        <w:rPr>
          <w:rFonts w:ascii="仿宋_GB2312" w:eastAsia="仿宋_GB2312" w:cs="仿宋_GB2312"/>
          <w:color w:val="000000" w:themeColor="text1"/>
          <w:sz w:val="32"/>
          <w:szCs w:val="32"/>
          <w:highlight w:val="none"/>
          <w14:textFill>
            <w14:solidFill>
              <w14:schemeClr w14:val="tx1"/>
            </w14:solidFill>
          </w14:textFill>
        </w:rPr>
        <w:t>专项债券项目</w:t>
      </w:r>
      <w:r>
        <w:rPr>
          <w:rFonts w:hint="eastAsia" w:ascii="仿宋_GB2312" w:eastAsia="仿宋_GB2312" w:cs="仿宋_GB2312"/>
          <w:color w:val="000000" w:themeColor="text1"/>
          <w:sz w:val="32"/>
          <w:szCs w:val="32"/>
          <w:highlight w:val="none"/>
          <w14:textFill>
            <w14:solidFill>
              <w14:schemeClr w14:val="tx1"/>
            </w14:solidFill>
          </w14:textFill>
        </w:rPr>
        <w:t>还本付息等支出。</w:t>
      </w:r>
    </w:p>
    <w:p w14:paraId="3A358C73">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14:textFill>
            <w14:solidFill>
              <w14:schemeClr w14:val="tx1"/>
            </w14:solidFill>
          </w14:textFill>
        </w:rPr>
        <w:t>3.社会保险基金预算。</w:t>
      </w:r>
      <w:r>
        <w:rPr>
          <w:rFonts w:hint="eastAsia" w:ascii="仿宋_GB2312" w:eastAsia="仿宋_GB2312" w:cs="仿宋_GB2312"/>
          <w:color w:val="000000" w:themeColor="text1"/>
          <w:sz w:val="32"/>
          <w:szCs w:val="32"/>
          <w:highlight w:val="none"/>
          <w14:textFill>
            <w14:solidFill>
              <w14:schemeClr w14:val="tx1"/>
            </w14:solidFill>
          </w14:textFill>
        </w:rPr>
        <w:t>预计</w:t>
      </w:r>
      <w:r>
        <w:rPr>
          <w:rFonts w:ascii="仿宋_GB2312" w:eastAsia="仿宋_GB2312" w:cs="仿宋_GB2312"/>
          <w:color w:val="000000" w:themeColor="text1"/>
          <w:sz w:val="32"/>
          <w:szCs w:val="32"/>
          <w:highlight w:val="none"/>
          <w14:textFill>
            <w14:solidFill>
              <w14:schemeClr w14:val="tx1"/>
            </w14:solidFill>
          </w14:textFill>
        </w:rPr>
        <w:t>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16952</w:t>
      </w:r>
      <w:r>
        <w:rPr>
          <w:rFonts w:ascii="仿宋_GB2312" w:eastAsia="仿宋_GB2312" w:cs="仿宋_GB2312"/>
          <w:color w:val="000000" w:themeColor="text1"/>
          <w:sz w:val="32"/>
          <w:szCs w:val="32"/>
          <w:highlight w:val="none"/>
          <w14:textFill>
            <w14:solidFill>
              <w14:schemeClr w14:val="tx1"/>
            </w14:solidFill>
          </w14:textFill>
        </w:rPr>
        <w:t>万元，比</w:t>
      </w:r>
      <w:r>
        <w:rPr>
          <w:rFonts w:hint="eastAsia" w:ascii="仿宋_GB2312" w:eastAsia="仿宋_GB2312" w:cs="仿宋_GB2312"/>
          <w:color w:val="000000" w:themeColor="text1"/>
          <w:sz w:val="32"/>
          <w:szCs w:val="32"/>
          <w:highlight w:val="none"/>
          <w14:textFill>
            <w14:solidFill>
              <w14:schemeClr w14:val="tx1"/>
            </w14:solidFill>
          </w14:textFill>
        </w:rPr>
        <w:t>202</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4</w:t>
      </w:r>
      <w:r>
        <w:rPr>
          <w:rFonts w:ascii="仿宋_GB2312" w:eastAsia="仿宋_GB2312" w:cs="仿宋_GB2312"/>
          <w:color w:val="000000" w:themeColor="text1"/>
          <w:sz w:val="32"/>
          <w:szCs w:val="32"/>
          <w:highlight w:val="none"/>
          <w14:textFill>
            <w14:solidFill>
              <w14:schemeClr w14:val="tx1"/>
            </w14:solidFill>
          </w14:textFill>
        </w:rPr>
        <w:t>年完成数</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13279</w:t>
      </w:r>
      <w:r>
        <w:rPr>
          <w:rFonts w:ascii="仿宋_GB2312" w:eastAsia="仿宋_GB2312" w:cs="仿宋_GB2312"/>
          <w:color w:val="000000" w:themeColor="text1"/>
          <w:sz w:val="32"/>
          <w:szCs w:val="32"/>
          <w:highlight w:val="none"/>
          <w14:textFill>
            <w14:solidFill>
              <w14:schemeClr w14:val="tx1"/>
            </w14:solidFill>
          </w14:textFill>
        </w:rPr>
        <w:t>万元增长</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27.66</w:t>
      </w:r>
      <w:r>
        <w:rPr>
          <w:rFonts w:hint="eastAsia"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预计</w:t>
      </w:r>
      <w:r>
        <w:rPr>
          <w:rFonts w:ascii="仿宋_GB2312" w:eastAsia="仿宋_GB2312" w:cs="仿宋_GB2312"/>
          <w:color w:val="000000" w:themeColor="text1"/>
          <w:sz w:val="32"/>
          <w:szCs w:val="32"/>
          <w:highlight w:val="none"/>
          <w14:textFill>
            <w14:solidFill>
              <w14:schemeClr w14:val="tx1"/>
            </w14:solidFill>
          </w14:textFill>
        </w:rPr>
        <w:t>支出16428万元，比</w:t>
      </w:r>
      <w:r>
        <w:rPr>
          <w:rFonts w:hint="eastAsia" w:ascii="仿宋_GB2312" w:eastAsia="仿宋_GB2312" w:cs="仿宋_GB2312"/>
          <w:color w:val="000000" w:themeColor="text1"/>
          <w:sz w:val="32"/>
          <w:szCs w:val="32"/>
          <w:highlight w:val="none"/>
          <w14:textFill>
            <w14:solidFill>
              <w14:schemeClr w14:val="tx1"/>
            </w14:solidFill>
          </w14:textFill>
        </w:rPr>
        <w:t>202</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4</w:t>
      </w:r>
      <w:r>
        <w:rPr>
          <w:rFonts w:ascii="仿宋_GB2312" w:eastAsia="仿宋_GB2312" w:cs="仿宋_GB2312"/>
          <w:color w:val="000000" w:themeColor="text1"/>
          <w:sz w:val="32"/>
          <w:szCs w:val="32"/>
          <w:highlight w:val="none"/>
          <w14:textFill>
            <w14:solidFill>
              <w14:schemeClr w14:val="tx1"/>
            </w14:solidFill>
          </w14:textFill>
        </w:rPr>
        <w:t>年完成数14709万元增长11.69%。</w:t>
      </w:r>
    </w:p>
    <w:p w14:paraId="35B794F7">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4.</w:t>
      </w:r>
      <w:r>
        <w:rPr>
          <w:rFonts w:hint="eastAsia" w:ascii="仿宋_GB2312" w:eastAsia="仿宋_GB2312" w:cs="仿宋_GB2312"/>
          <w:b/>
          <w:bCs/>
          <w:color w:val="000000" w:themeColor="text1"/>
          <w:sz w:val="32"/>
          <w:szCs w:val="32"/>
          <w:highlight w:val="none"/>
          <w14:textFill>
            <w14:solidFill>
              <w14:schemeClr w14:val="tx1"/>
            </w14:solidFill>
          </w14:textFill>
        </w:rPr>
        <w:t>国有资本经营预算。</w:t>
      </w:r>
      <w:r>
        <w:rPr>
          <w:rFonts w:hint="eastAsia" w:ascii="仿宋_GB2312" w:eastAsia="仿宋_GB2312"/>
          <w:color w:val="000000" w:themeColor="text1"/>
          <w:sz w:val="32"/>
          <w:szCs w:val="32"/>
          <w:highlight w:val="none"/>
          <w14:textFill>
            <w14:solidFill>
              <w14:schemeClr w14:val="tx1"/>
            </w14:solidFill>
          </w14:textFill>
        </w:rPr>
        <w:t>预计</w:t>
      </w:r>
      <w:r>
        <w:rPr>
          <w:rFonts w:hint="eastAsia" w:ascii="仿宋_GB2312" w:eastAsia="仿宋_GB2312"/>
          <w:color w:val="000000" w:themeColor="text1"/>
          <w:sz w:val="32"/>
          <w:szCs w:val="32"/>
          <w:highlight w:val="none"/>
          <w:lang w:eastAsia="zh-CN"/>
          <w14:textFill>
            <w14:solidFill>
              <w14:schemeClr w14:val="tx1"/>
            </w14:solidFill>
          </w14:textFill>
        </w:rPr>
        <w:t>县级国有资本经营</w:t>
      </w:r>
      <w:r>
        <w:rPr>
          <w:rFonts w:hint="eastAsia" w:ascii="仿宋_GB2312" w:eastAsia="仿宋_GB2312"/>
          <w:color w:val="000000" w:themeColor="text1"/>
          <w:sz w:val="32"/>
          <w:szCs w:val="32"/>
          <w:highlight w:val="none"/>
          <w14:textFill>
            <w14:solidFill>
              <w14:schemeClr w14:val="tx1"/>
            </w14:solidFill>
          </w14:textFill>
        </w:rPr>
        <w:t>收入</w:t>
      </w:r>
      <w:r>
        <w:rPr>
          <w:rFonts w:hint="eastAsia" w:ascii="仿宋_GB2312" w:eastAsia="仿宋_GB2312"/>
          <w:color w:val="000000" w:themeColor="text1"/>
          <w:sz w:val="32"/>
          <w:szCs w:val="32"/>
          <w:highlight w:val="none"/>
          <w:lang w:val="en-US" w:eastAsia="zh-CN"/>
          <w14:textFill>
            <w14:solidFill>
              <w14:schemeClr w14:val="tx1"/>
            </w14:solidFill>
          </w14:textFill>
        </w:rPr>
        <w:t>30</w:t>
      </w:r>
      <w:r>
        <w:rPr>
          <w:rFonts w:hint="eastAsia" w:ascii="仿宋_GB2312" w:eastAsia="仿宋_GB2312"/>
          <w:color w:val="000000" w:themeColor="text1"/>
          <w:sz w:val="32"/>
          <w:szCs w:val="32"/>
          <w:highlight w:val="none"/>
          <w14:textFill>
            <w14:solidFill>
              <w14:schemeClr w14:val="tx1"/>
            </w14:solidFill>
          </w14:textFill>
        </w:rPr>
        <w:t>万元，</w:t>
      </w:r>
      <w:r>
        <w:rPr>
          <w:rFonts w:hint="eastAsia" w:ascii="仿宋_GB2312" w:eastAsia="仿宋_GB2312"/>
          <w:color w:val="000000" w:themeColor="text1"/>
          <w:sz w:val="32"/>
          <w:szCs w:val="32"/>
          <w:highlight w:val="none"/>
          <w:lang w:eastAsia="zh-CN"/>
          <w14:textFill>
            <w14:solidFill>
              <w14:schemeClr w14:val="tx1"/>
            </w14:solidFill>
          </w14:textFill>
        </w:rPr>
        <w:t>加上级转移支付补助收入</w:t>
      </w:r>
      <w:r>
        <w:rPr>
          <w:rFonts w:hint="eastAsia" w:ascii="仿宋_GB2312" w:eastAsia="仿宋_GB2312"/>
          <w:color w:val="000000" w:themeColor="text1"/>
          <w:sz w:val="32"/>
          <w:szCs w:val="32"/>
          <w:highlight w:val="none"/>
          <w:lang w:val="en-US" w:eastAsia="zh-CN"/>
          <w14:textFill>
            <w14:solidFill>
              <w14:schemeClr w14:val="tx1"/>
            </w14:solidFill>
          </w14:textFill>
        </w:rPr>
        <w:t>1万元、上年结转收入15万元，国有资本经营收入总量为46万元。</w:t>
      </w:r>
      <w:r>
        <w:rPr>
          <w:rFonts w:hint="eastAsia" w:ascii="仿宋_GB2312" w:eastAsia="仿宋_GB2312"/>
          <w:color w:val="000000" w:themeColor="text1"/>
          <w:sz w:val="32"/>
          <w:szCs w:val="32"/>
          <w:highlight w:val="none"/>
          <w:lang w:eastAsia="zh-CN"/>
          <w14:textFill>
            <w14:solidFill>
              <w14:schemeClr w14:val="tx1"/>
            </w14:solidFill>
          </w14:textFill>
        </w:rPr>
        <w:t>按照</w:t>
      </w:r>
      <w:r>
        <w:rPr>
          <w:rFonts w:hint="eastAsia" w:ascii="仿宋_GB2312" w:eastAsia="仿宋_GB2312"/>
          <w:color w:val="000000" w:themeColor="text1"/>
          <w:sz w:val="32"/>
          <w:szCs w:val="32"/>
          <w:highlight w:val="none"/>
          <w14:textFill>
            <w14:solidFill>
              <w14:schemeClr w14:val="tx1"/>
            </w14:solidFill>
          </w14:textFill>
        </w:rPr>
        <w:t>收支平衡原则，相应安排国有资本经营预算支出</w:t>
      </w:r>
      <w:r>
        <w:rPr>
          <w:rFonts w:hint="eastAsia" w:ascii="仿宋_GB2312" w:eastAsia="仿宋_GB2312"/>
          <w:color w:val="000000" w:themeColor="text1"/>
          <w:sz w:val="32"/>
          <w:szCs w:val="32"/>
          <w:highlight w:val="none"/>
          <w:lang w:val="en-US" w:eastAsia="zh-CN"/>
          <w14:textFill>
            <w14:solidFill>
              <w14:schemeClr w14:val="tx1"/>
            </w14:solidFill>
          </w14:textFill>
        </w:rPr>
        <w:t>46</w:t>
      </w:r>
      <w:r>
        <w:rPr>
          <w:rFonts w:hint="eastAsia" w:ascii="仿宋_GB2312" w:eastAsia="仿宋_GB2312"/>
          <w:color w:val="000000" w:themeColor="text1"/>
          <w:sz w:val="32"/>
          <w:szCs w:val="32"/>
          <w:highlight w:val="none"/>
          <w14:textFill>
            <w14:solidFill>
              <w14:schemeClr w14:val="tx1"/>
            </w14:solidFill>
          </w14:textFill>
        </w:rPr>
        <w:t>万元，主要用于补充社保基金、解决改制企业遗留问题等支出。</w:t>
      </w:r>
    </w:p>
    <w:p w14:paraId="71992395">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textAlignment w:val="auto"/>
        <w:rPr>
          <w:rFonts w:hint="default"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5.政府采购预算。</w:t>
      </w:r>
      <w:r>
        <w:rPr>
          <w:rFonts w:hint="eastAsia" w:ascii="仿宋_GB2312" w:eastAsia="仿宋_GB2312"/>
          <w:color w:val="000000" w:themeColor="text1"/>
          <w:sz w:val="32"/>
          <w:szCs w:val="32"/>
          <w:highlight w:val="none"/>
          <w:lang w:val="en-US" w:eastAsia="zh-CN"/>
          <w14:textFill>
            <w14:solidFill>
              <w14:schemeClr w14:val="tx1"/>
            </w14:solidFill>
          </w14:textFill>
        </w:rPr>
        <w:t>预计部门基本支出991.45万元，本级专项支出1274.74万元，上级专项支出369.43万元，单位自有及其他资金279.91万元，政府采购总量为2915.53万元，以政府集中采购目录和采购限额标准为依据，遵循同编同调、专款专用、细化可行原则。</w:t>
      </w:r>
    </w:p>
    <w:p w14:paraId="64E16E4F">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黑体" w:eastAsia="黑体" w:cs="黑体"/>
          <w:color w:val="000000" w:themeColor="text1"/>
          <w:sz w:val="32"/>
          <w:szCs w:val="32"/>
          <w:highlight w:val="none"/>
          <w14:textFill>
            <w14:solidFill>
              <w14:schemeClr w14:val="tx1"/>
            </w14:solidFill>
          </w14:textFill>
        </w:rPr>
      </w:pPr>
      <w:r>
        <w:rPr>
          <w:rFonts w:hint="eastAsia" w:ascii="黑体" w:eastAsia="黑体" w:cs="黑体"/>
          <w:color w:val="000000" w:themeColor="text1"/>
          <w:sz w:val="32"/>
          <w:szCs w:val="32"/>
          <w:highlight w:val="none"/>
          <w:lang w:eastAsia="zh-CN"/>
          <w14:textFill>
            <w14:solidFill>
              <w14:schemeClr w14:val="tx1"/>
            </w14:solidFill>
          </w14:textFill>
        </w:rPr>
        <w:t>三、</w:t>
      </w:r>
      <w:r>
        <w:rPr>
          <w:rFonts w:hint="eastAsia" w:ascii="黑体" w:eastAsia="黑体" w:cs="黑体"/>
          <w:color w:val="000000" w:themeColor="text1"/>
          <w:sz w:val="32"/>
          <w:szCs w:val="32"/>
          <w:highlight w:val="none"/>
          <w14:textFill>
            <w14:solidFill>
              <w14:schemeClr w14:val="tx1"/>
            </w14:solidFill>
          </w14:textFill>
        </w:rPr>
        <w:t>202</w:t>
      </w:r>
      <w:r>
        <w:rPr>
          <w:rFonts w:hint="eastAsia" w:ascii="黑体" w:eastAsia="黑体" w:cs="黑体"/>
          <w:color w:val="000000" w:themeColor="text1"/>
          <w:sz w:val="32"/>
          <w:szCs w:val="32"/>
          <w:highlight w:val="none"/>
          <w:lang w:val="en-US" w:eastAsia="zh-CN"/>
          <w14:textFill>
            <w14:solidFill>
              <w14:schemeClr w14:val="tx1"/>
            </w14:solidFill>
          </w14:textFill>
        </w:rPr>
        <w:t>5</w:t>
      </w:r>
      <w:r>
        <w:rPr>
          <w:rFonts w:hint="eastAsia" w:ascii="黑体" w:eastAsia="黑体" w:cs="黑体"/>
          <w:color w:val="000000" w:themeColor="text1"/>
          <w:sz w:val="32"/>
          <w:szCs w:val="32"/>
          <w:highlight w:val="none"/>
          <w14:textFill>
            <w14:solidFill>
              <w14:schemeClr w14:val="tx1"/>
            </w14:solidFill>
          </w14:textFill>
        </w:rPr>
        <w:t>年财政</w:t>
      </w:r>
      <w:r>
        <w:rPr>
          <w:rFonts w:hint="eastAsia" w:ascii="黑体" w:eastAsia="黑体" w:cs="黑体"/>
          <w:color w:val="000000" w:themeColor="text1"/>
          <w:sz w:val="32"/>
          <w:szCs w:val="32"/>
          <w:highlight w:val="none"/>
          <w:lang w:eastAsia="zh-CN"/>
          <w14:textFill>
            <w14:solidFill>
              <w14:schemeClr w14:val="tx1"/>
            </w14:solidFill>
          </w14:textFill>
        </w:rPr>
        <w:t>重点</w:t>
      </w:r>
      <w:r>
        <w:rPr>
          <w:rFonts w:hint="eastAsia" w:ascii="黑体" w:eastAsia="黑体" w:cs="黑体"/>
          <w:color w:val="000000" w:themeColor="text1"/>
          <w:sz w:val="32"/>
          <w:szCs w:val="32"/>
          <w:highlight w:val="none"/>
          <w14:textFill>
            <w14:solidFill>
              <w14:schemeClr w14:val="tx1"/>
            </w14:solidFill>
          </w14:textFill>
        </w:rPr>
        <w:t>工作</w:t>
      </w:r>
    </w:p>
    <w:p w14:paraId="41F3EB46">
      <w:pPr>
        <w:pStyle w:val="7"/>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638" w:leftChars="304" w:firstLine="0" w:firstLineChars="0"/>
        <w:jc w:val="both"/>
        <w:textAlignment w:val="auto"/>
        <w:rPr>
          <w:rFonts w:hint="eastAsia" w:ascii="楷体_GB2312" w:hAnsi="Calibri" w:eastAsia="楷体_GB2312" w:cs="Times New Roman"/>
          <w:b/>
          <w:bCs/>
          <w:color w:val="000000" w:themeColor="text1"/>
          <w:sz w:val="32"/>
          <w:szCs w:val="32"/>
          <w:highlight w:val="none"/>
          <w:shd w:val="clear" w:color="auto" w:fill="FFFFFF"/>
          <w:lang w:eastAsia="zh-CN"/>
          <w14:textFill>
            <w14:solidFill>
              <w14:schemeClr w14:val="tx1"/>
            </w14:solidFill>
          </w14:textFill>
        </w:rPr>
      </w:pPr>
      <w:r>
        <w:rPr>
          <w:rFonts w:hint="eastAsia" w:ascii="楷体_GB2312" w:hAnsi="Calibri" w:eastAsia="楷体_GB2312" w:cs="Times New Roman"/>
          <w:b/>
          <w:bCs/>
          <w:color w:val="000000" w:themeColor="text1"/>
          <w:sz w:val="32"/>
          <w:szCs w:val="32"/>
          <w:highlight w:val="none"/>
          <w:shd w:val="clear" w:color="auto" w:fill="FFFFFF"/>
          <w14:textFill>
            <w14:solidFill>
              <w14:schemeClr w14:val="tx1"/>
            </w14:solidFill>
          </w14:textFill>
        </w:rPr>
        <w:t>持续做大财政收入规模，在涵养优质税源上加力</w:t>
      </w:r>
      <w:r>
        <w:rPr>
          <w:rFonts w:hint="eastAsia" w:ascii="楷体_GB2312" w:hAnsi="Calibri" w:eastAsia="楷体_GB2312" w:cs="Times New Roman"/>
          <w:b/>
          <w:bCs/>
          <w:color w:val="000000" w:themeColor="text1"/>
          <w:sz w:val="32"/>
          <w:szCs w:val="32"/>
          <w:highlight w:val="none"/>
          <w:shd w:val="clear" w:color="auto" w:fill="FFFFFF"/>
          <w:lang w:eastAsia="zh-CN"/>
          <w14:textFill>
            <w14:solidFill>
              <w14:schemeClr w14:val="tx1"/>
            </w14:solidFill>
          </w14:textFill>
        </w:rPr>
        <w:t>。</w:t>
      </w:r>
    </w:p>
    <w:p w14:paraId="3808C2F2">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Calibri" w:eastAsia="仿宋_GB2312" w:cs="Calibri"/>
          <w:color w:val="000000" w:themeColor="text1"/>
          <w:kern w:val="2"/>
          <w:sz w:val="32"/>
          <w:szCs w:val="32"/>
          <w:highlight w:val="none"/>
          <w:lang w:val="en-US" w:eastAsia="zh-CN" w:bidi="ar-SA"/>
          <w14:textFill>
            <w14:solidFill>
              <w14:schemeClr w14:val="tx1"/>
            </w14:solidFill>
          </w14:textFill>
        </w:rPr>
      </w:pPr>
      <w:r>
        <w:rPr>
          <w:rFonts w:hint="eastAsia" w:ascii="仿宋_GB2312" w:hAnsi="Calibri" w:eastAsia="仿宋_GB2312" w:cs="Calibri"/>
          <w:color w:val="000000" w:themeColor="text1"/>
          <w:kern w:val="2"/>
          <w:sz w:val="32"/>
          <w:szCs w:val="32"/>
          <w:highlight w:val="none"/>
          <w:lang w:val="en-US" w:eastAsia="zh-CN" w:bidi="ar-SA"/>
          <w14:textFill>
            <w14:solidFill>
              <w14:schemeClr w14:val="tx1"/>
            </w14:solidFill>
          </w14:textFill>
        </w:rPr>
        <w:t>全面落实减税降费、留抵退税等税收优惠政策，以及政府采购、财政补助等助企纾困措施，加大招商引资奖补力度，加快“财政+金融”实施进程，撬动社会资本支持实体经济，加大“财政+资产”实施力度，最大限度盘活矿山、土地、景区等资源资产，以产业发展支撑财政增收。规范中央预算内投资、国债、债券资金使用，严格按照项目实施进度及时拨付资金，确保项目顺利实施。加强与税务部门的对接协同，聚焦重点行业、重点税源、重点项目，及时准确研判收入形势，依法征收、应收尽收。积极配合非税执收部门认真分析非税收入执收情况，明确征收计划，细化征收举措，确保及时足额征缴入库，圆满完成全年财政收入目标任务。</w:t>
      </w:r>
    </w:p>
    <w:p w14:paraId="1FEB14DC">
      <w:pPr>
        <w:pStyle w:val="7"/>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638" w:leftChars="304" w:firstLine="0" w:firstLineChars="0"/>
        <w:jc w:val="both"/>
        <w:textAlignment w:val="auto"/>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pP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积极争取</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上级</w:t>
      </w: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倾斜支持，在</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向上争取资金</w:t>
      </w: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上加力</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w:t>
      </w:r>
    </w:p>
    <w:p w14:paraId="6418A92F">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Calibri" w:eastAsia="仿宋_GB2312" w:cs="Calibri"/>
          <w:color w:val="000000" w:themeColor="text1"/>
          <w:kern w:val="2"/>
          <w:sz w:val="32"/>
          <w:szCs w:val="32"/>
          <w:highlight w:val="none"/>
          <w:lang w:val="en-US" w:eastAsia="zh-CN" w:bidi="ar-SA"/>
          <w14:textFill>
            <w14:solidFill>
              <w14:schemeClr w14:val="tx1"/>
            </w14:solidFill>
          </w14:textFill>
        </w:rPr>
      </w:pPr>
      <w:r>
        <w:rPr>
          <w:rFonts w:hint="eastAsia" w:ascii="仿宋_GB2312" w:hAnsi="Calibri" w:eastAsia="仿宋_GB2312" w:cs="Calibri"/>
          <w:color w:val="000000" w:themeColor="text1"/>
          <w:kern w:val="2"/>
          <w:sz w:val="32"/>
          <w:szCs w:val="32"/>
          <w:highlight w:val="none"/>
          <w:lang w:val="en-US" w:eastAsia="zh-CN" w:bidi="ar-SA"/>
          <w14:textFill>
            <w14:solidFill>
              <w14:schemeClr w14:val="tx1"/>
            </w14:solidFill>
          </w14:textFill>
        </w:rPr>
        <w:t>紧盯国家连续几年发行超长期特别国债、共建“一带一路”、加快建设全国统一大市场等国家战略的深入实施，结合我县特色优势，围绕基础设施建设、特色产业、城乡一体化建设、社会事业、生态环保等重点领域，精心设计、精准谋划，储备一批高质量、能落地的项目，最大限度把政策机遇转化成项目和资金。紧盯中央及省市政策和资金投向，高频次与省市财政部门汇报衔接，及时了解掌握上级政策变化，跟进了解项目申报情况，配合各部门单位将竞争性分配和试点项目作为争取财政政策支持的突破口。牢固树立“跳起来摘果子、跑起来争资金”的理念，加强汇报衔接，持续加大信息报送力度，及时反映资金管理使用和政策落实情况，赢得上级部门信赖认可，有针对性的协调各相关部门及早谋划、争取重点，充分发挥争取资金对县域经济高质量发展的拉动作用。</w:t>
      </w:r>
    </w:p>
    <w:p w14:paraId="036BFB48">
      <w:pPr>
        <w:pStyle w:val="7"/>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638" w:leftChars="304" w:firstLine="0" w:firstLineChars="0"/>
        <w:jc w:val="both"/>
        <w:textAlignment w:val="auto"/>
        <w:rPr>
          <w:rFonts w:ascii="仿宋_GB2312" w:hAnsi="Calibri" w:eastAsia="仿宋_GB2312"/>
          <w:bCs/>
          <w:color w:val="000000" w:themeColor="text1"/>
          <w:sz w:val="32"/>
          <w:szCs w:val="32"/>
          <w:highlight w:val="none"/>
          <w:shd w:val="clear" w:color="auto" w:fill="FFFFFF"/>
          <w14:textFill>
            <w14:solidFill>
              <w14:schemeClr w14:val="tx1"/>
            </w14:solidFill>
          </w14:textFill>
        </w:rPr>
      </w:pP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兜牢兜实“三保”底线，在</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落实资金保障</w:t>
      </w: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上加力</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w:t>
      </w:r>
    </w:p>
    <w:p w14:paraId="798B0BE2">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ascii="仿宋_GB2312" w:hAnsi="Calibri" w:eastAsia="仿宋_GB2312"/>
          <w:bCs/>
          <w:color w:val="000000" w:themeColor="text1"/>
          <w:sz w:val="32"/>
          <w:szCs w:val="32"/>
          <w:highlight w:val="none"/>
          <w:shd w:val="clear" w:color="auto" w:fill="FFFFFF"/>
          <w14:textFill>
            <w14:solidFill>
              <w14:schemeClr w14:val="tx1"/>
            </w14:solidFill>
          </w14:textFill>
        </w:rPr>
      </w:pPr>
      <w:r>
        <w:rPr>
          <w:rFonts w:hint="eastAsia" w:ascii="仿宋_GB2312" w:hAnsi="Calibri" w:eastAsia="仿宋_GB2312" w:cs="Times New Roman"/>
          <w:bCs/>
          <w:color w:val="000000" w:themeColor="text1"/>
          <w:sz w:val="32"/>
          <w:szCs w:val="32"/>
          <w:highlight w:val="none"/>
          <w:shd w:val="clear" w:color="auto" w:fill="FFFFFF"/>
          <w:lang w:val="en-US" w:eastAsia="zh-CN"/>
          <w14:textFill>
            <w14:solidFill>
              <w14:schemeClr w14:val="tx1"/>
            </w14:solidFill>
          </w14:textFill>
        </w:rPr>
        <w:t>严防“三保”保障风险。坚持“三保”支出在财政支出中的优先顺序，加强对“三保”特别是人员工资发放、养老金、城乡低保等重点资金的风险研判，全力保障教育、卫生健康、社会保障等领域涉及人民群众基本生存和发展权利的支出，履行在供水、供电、供暖、供气、污水处理、公共交通等与民生密切相关的公共事业领域的支出义务，强化资金统筹调度，履行主体责任，守住“三保”责任田，确保“三保”足额保障到位。坚持预算法定原则，先有预算后有支出，严禁无预算、超预算支出。</w:t>
      </w:r>
    </w:p>
    <w:p w14:paraId="5BB4D66A">
      <w:pPr>
        <w:pStyle w:val="7"/>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638" w:leftChars="304" w:firstLine="0" w:firstLineChars="0"/>
        <w:jc w:val="both"/>
        <w:textAlignment w:val="auto"/>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pP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强化重点任务保障，在提高支出质量上加力。</w:t>
      </w:r>
    </w:p>
    <w:p w14:paraId="1D297F59">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Calibri" w:eastAsia="仿宋_GB2312" w:cs="Times New Roman"/>
          <w:bCs/>
          <w:color w:val="000000" w:themeColor="text1"/>
          <w:sz w:val="32"/>
          <w:szCs w:val="32"/>
          <w:highlight w:val="none"/>
          <w:shd w:val="clear" w:color="auto" w:fill="FFFFFF"/>
          <w:lang w:val="en-US" w:eastAsia="zh-CN"/>
          <w14:textFill>
            <w14:solidFill>
              <w14:schemeClr w14:val="tx1"/>
            </w14:solidFill>
          </w14:textFill>
        </w:rPr>
      </w:pPr>
      <w:r>
        <w:rPr>
          <w:rFonts w:hint="eastAsia" w:ascii="仿宋_GB2312" w:hAnsi="Calibri" w:eastAsia="仿宋_GB2312" w:cs="Times New Roman"/>
          <w:bCs/>
          <w:color w:val="000000" w:themeColor="text1"/>
          <w:sz w:val="32"/>
          <w:szCs w:val="32"/>
          <w:highlight w:val="none"/>
          <w:shd w:val="clear" w:color="auto" w:fill="FFFFFF"/>
          <w:lang w:val="en-US" w:eastAsia="zh-CN"/>
          <w14:textFill>
            <w14:solidFill>
              <w14:schemeClr w14:val="tx1"/>
            </w14:solidFill>
          </w14:textFill>
        </w:rPr>
        <w:t>加大乡村振兴特色产业、高标准农田建设支持力度，支持农村基础设施建设，推动乡村振兴建设加力提质。多渠道筹集资金，支持高校毕业生、退役士兵、残疾人康复就业创业、社会救助保障标准提标和医疗服务质量提升，全力保障和改善民生。加强事前论证和财政承受能力评估工作，坚决落实县委县政府为民办实事资金。全力支持生态保护、采煤沉陷区恢复治理工作，纵深推进祁连山生态环境修复保护。</w:t>
      </w:r>
    </w:p>
    <w:p w14:paraId="2E1BC7D3">
      <w:pPr>
        <w:pStyle w:val="7"/>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638" w:leftChars="304" w:firstLine="0" w:firstLineChars="0"/>
        <w:jc w:val="both"/>
        <w:textAlignment w:val="auto"/>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pP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突出财政管理效能，在资金使用效益上加力。</w:t>
      </w:r>
    </w:p>
    <w:p w14:paraId="573BFC3A">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Calibri" w:eastAsia="仿宋_GB2312" w:cs="Times New Roman"/>
          <w:bCs/>
          <w:color w:val="000000" w:themeColor="text1"/>
          <w:sz w:val="32"/>
          <w:szCs w:val="32"/>
          <w:highlight w:val="none"/>
          <w:shd w:val="clear" w:color="auto" w:fill="FFFFFF"/>
          <w:lang w:val="en-US" w:eastAsia="zh-CN"/>
          <w14:textFill>
            <w14:solidFill>
              <w14:schemeClr w14:val="tx1"/>
            </w14:solidFill>
          </w14:textFill>
        </w:rPr>
      </w:pPr>
      <w:r>
        <w:rPr>
          <w:rFonts w:hint="eastAsia" w:ascii="仿宋_GB2312" w:hAnsi="Calibri" w:eastAsia="仿宋_GB2312" w:cs="Times New Roman"/>
          <w:bCs/>
          <w:color w:val="000000" w:themeColor="text1"/>
          <w:sz w:val="32"/>
          <w:szCs w:val="32"/>
          <w:highlight w:val="none"/>
          <w:shd w:val="clear" w:color="auto" w:fill="FFFFFF"/>
          <w:lang w:val="en-US" w:eastAsia="zh-CN"/>
          <w14:textFill>
            <w14:solidFill>
              <w14:schemeClr w14:val="tx1"/>
            </w14:solidFill>
          </w14:textFill>
        </w:rPr>
        <w:t>强化部门预算管理，硬化预算执行约束，严肃预算调整事项；加快预算执行进度，强化预算执行的时效性和均衡性；进一步完善“全方位、全过程、全覆盖”的预算绩效管理体系，推动预算绩效管理扩围增量、提质增效；加大盘活财政存量资金和资金统筹整合力度，建立结余结转资金定期清理机制，常态化盘活存量资金支持重点支出；落实直达资金常态化管理机制，强化数据互链共享，加快资金支出进度，提高资金管理水平，确保资金使用高效安全。</w:t>
      </w:r>
    </w:p>
    <w:p w14:paraId="202A6943">
      <w:pPr>
        <w:pStyle w:val="7"/>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638" w:leftChars="304" w:firstLine="0" w:firstLineChars="0"/>
        <w:jc w:val="both"/>
        <w:textAlignment w:val="auto"/>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pP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牢牢守住风险底线，在防控债务风险上加力。</w:t>
      </w:r>
    </w:p>
    <w:p w14:paraId="04C29D8E">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ascii="仿宋_GB2312" w:hAnsi="Calibri" w:eastAsia="仿宋_GB2312"/>
          <w:bCs/>
          <w:color w:val="000000" w:themeColor="text1"/>
          <w:sz w:val="32"/>
          <w:szCs w:val="32"/>
          <w:highlight w:val="none"/>
          <w:shd w:val="clear" w:color="auto" w:fill="FFFFFF"/>
          <w14:textFill>
            <w14:solidFill>
              <w14:schemeClr w14:val="tx1"/>
            </w14:solidFill>
          </w14:textFill>
        </w:rPr>
      </w:pPr>
      <w:r>
        <w:rPr>
          <w:rFonts w:hint="eastAsia" w:ascii="仿宋_GB2312" w:hAnsi="Calibri" w:eastAsia="仿宋_GB2312"/>
          <w:bCs/>
          <w:color w:val="000000" w:themeColor="text1"/>
          <w:sz w:val="32"/>
          <w:szCs w:val="32"/>
          <w:highlight w:val="none"/>
          <w:shd w:val="clear" w:color="auto" w:fill="FFFFFF"/>
          <w:lang w:eastAsia="zh-CN"/>
          <w14:textFill>
            <w14:solidFill>
              <w14:schemeClr w14:val="tx1"/>
            </w14:solidFill>
          </w14:textFill>
        </w:rPr>
        <w:t>强化专项债券投后管理，加强专项债券项目穿透式监测，压实主管部门和项目单位主体责任，提高专项债券资金使用效益，切实防范专项债券风险。通过预算安排、压减一般性支出、加大资源资产资金统筹盘活等措施，多渠道筹措化债资金，确保完成年度债务化解目标。</w:t>
      </w:r>
      <w:r>
        <w:rPr>
          <w:rFonts w:hint="eastAsia" w:ascii="仿宋_GB2312" w:hAnsi="微软雅黑" w:eastAsia="仿宋_GB2312" w:cs="仿宋_GB2312"/>
          <w:i w:val="0"/>
          <w:iCs w:val="0"/>
          <w:caps w:val="0"/>
          <w:color w:val="000000"/>
          <w:spacing w:val="0"/>
          <w:sz w:val="31"/>
          <w:szCs w:val="31"/>
          <w:shd w:val="clear" w:fill="FFFFFF"/>
        </w:rPr>
        <w:t>加强政府性债务管理，严格执行地方政府债务限额管理和预算管理制度，确保全县债务规模合理、风险可控；积极争取再融资一般债券和专项债券化债支持，稳妥化解政府存量债务，牢牢守住不发生系统性风险的底线。</w:t>
      </w:r>
    </w:p>
    <w:p w14:paraId="7F019939">
      <w:pPr>
        <w:pStyle w:val="7"/>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638" w:leftChars="304" w:firstLine="0" w:firstLineChars="0"/>
        <w:jc w:val="both"/>
        <w:textAlignment w:val="auto"/>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pP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推进预算绩效管理，</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在</w:t>
      </w: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评价结果应用</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上加力</w:t>
      </w: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w:t>
      </w:r>
    </w:p>
    <w:p w14:paraId="11043A5A">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Calibri" w:eastAsia="仿宋_GB2312"/>
          <w:bCs/>
          <w:color w:val="000000" w:themeColor="text1"/>
          <w:sz w:val="32"/>
          <w:szCs w:val="32"/>
          <w:highlight w:val="none"/>
          <w:shd w:val="clear" w:color="auto" w:fill="FFFFFF"/>
          <w14:textFill>
            <w14:solidFill>
              <w14:schemeClr w14:val="tx1"/>
            </w14:solidFill>
          </w14:textFill>
        </w:rPr>
      </w:pPr>
      <w:r>
        <w:rPr>
          <w:rFonts w:hint="eastAsia" w:ascii="仿宋_GB2312" w:hAnsi="Calibri" w:eastAsia="仿宋_GB2312"/>
          <w:bCs/>
          <w:color w:val="000000" w:themeColor="text1"/>
          <w:sz w:val="32"/>
          <w:szCs w:val="32"/>
          <w:highlight w:val="none"/>
          <w:shd w:val="clear" w:color="auto" w:fill="FFFFFF"/>
          <w14:textFill>
            <w14:solidFill>
              <w14:schemeClr w14:val="tx1"/>
            </w14:solidFill>
          </w14:textFill>
        </w:rPr>
        <w:t>扎实开展全过程预算绩效管理，牢固树立“讲绩效、重绩效、用绩效”和“花钱必问效、无效必问责”的绩效管理理念。</w:t>
      </w:r>
      <w:r>
        <w:rPr>
          <w:rFonts w:hint="eastAsia" w:ascii="仿宋_GB2312" w:hAnsi="Calibri" w:eastAsia="仿宋_GB2312" w:cs="Times New Roman"/>
          <w:bCs/>
          <w:color w:val="000000" w:themeColor="text1"/>
          <w:sz w:val="32"/>
          <w:szCs w:val="32"/>
          <w:highlight w:val="none"/>
          <w:shd w:val="clear" w:color="auto" w:fill="FFFFFF"/>
          <w14:textFill>
            <w14:solidFill>
              <w14:schemeClr w14:val="tx1"/>
            </w14:solidFill>
          </w14:textFill>
        </w:rPr>
        <w:t>将绩效要求贯穿到资金使用分配、财税改革、财会监督、内部管理等各个方面，实现重点评价提质扩面。</w:t>
      </w:r>
      <w:r>
        <w:rPr>
          <w:rFonts w:hint="eastAsia" w:ascii="仿宋_GB2312" w:hAnsi="Calibri" w:eastAsia="仿宋_GB2312"/>
          <w:bCs/>
          <w:color w:val="000000" w:themeColor="text1"/>
          <w:sz w:val="32"/>
          <w:szCs w:val="32"/>
          <w:highlight w:val="none"/>
          <w:shd w:val="clear" w:color="auto" w:fill="FFFFFF"/>
          <w:lang w:eastAsia="zh-CN"/>
          <w14:textFill>
            <w14:solidFill>
              <w14:schemeClr w14:val="tx1"/>
            </w14:solidFill>
          </w14:textFill>
        </w:rPr>
        <w:t>做好事前、事中、事后绩效评价工作，</w:t>
      </w:r>
      <w:r>
        <w:rPr>
          <w:rFonts w:hint="eastAsia" w:ascii="仿宋_GB2312" w:hAnsi="Calibri" w:eastAsia="仿宋_GB2312"/>
          <w:bCs/>
          <w:color w:val="000000" w:themeColor="text1"/>
          <w:sz w:val="32"/>
          <w:szCs w:val="32"/>
          <w:highlight w:val="none"/>
          <w:shd w:val="clear" w:color="auto" w:fill="FFFFFF"/>
          <w14:textFill>
            <w14:solidFill>
              <w14:schemeClr w14:val="tx1"/>
            </w14:solidFill>
          </w14:textFill>
        </w:rPr>
        <w:t>逐步扩大绩效评价范围，加大对重点支出和重大项目绩效评价工作，建立绩效评价与预算挂钩、与奖惩挂钩、与问责挂钩的奖惩机制</w:t>
      </w:r>
      <w:r>
        <w:rPr>
          <w:rFonts w:hint="eastAsia" w:ascii="仿宋_GB2312" w:hAnsi="Calibri" w:eastAsia="仿宋_GB2312"/>
          <w:bCs/>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Calibri" w:eastAsia="仿宋_GB2312"/>
          <w:bCs/>
          <w:color w:val="000000" w:themeColor="text1"/>
          <w:sz w:val="32"/>
          <w:szCs w:val="32"/>
          <w:highlight w:val="none"/>
          <w:shd w:val="clear" w:color="auto" w:fill="FFFFFF"/>
          <w14:textFill>
            <w14:solidFill>
              <w14:schemeClr w14:val="tx1"/>
            </w14:solidFill>
          </w14:textFill>
        </w:rPr>
        <w:t>确保财政资金发挥最大效益。</w:t>
      </w:r>
      <w:r>
        <w:rPr>
          <w:rFonts w:hint="eastAsia" w:ascii="仿宋_GB2312" w:hAnsi="Calibri" w:eastAsia="仿宋_GB2312" w:cs="Times New Roman"/>
          <w:bCs/>
          <w:color w:val="000000" w:themeColor="text1"/>
          <w:sz w:val="32"/>
          <w:szCs w:val="32"/>
          <w:highlight w:val="none"/>
          <w:shd w:val="clear" w:color="auto" w:fill="FFFFFF"/>
          <w14:textFill>
            <w14:solidFill>
              <w14:schemeClr w14:val="tx1"/>
            </w14:solidFill>
          </w14:textFill>
        </w:rPr>
        <w:t>畅通社会公众参与绩效管理的渠道，着力提升绩效管理效能和绩效评价结果应用水平。</w:t>
      </w:r>
    </w:p>
    <w:p w14:paraId="5E7CC175">
      <w:pPr>
        <w:pStyle w:val="7"/>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638" w:leftChars="304" w:firstLine="0" w:firstLineChars="0"/>
        <w:jc w:val="both"/>
        <w:textAlignment w:val="auto"/>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pP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持续加强财经监督，</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在</w:t>
      </w: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维护财经秩序</w:t>
      </w:r>
      <w:r>
        <w:rPr>
          <w:rFonts w:hint="eastAsia" w:ascii="楷体_GB2312" w:hAnsi="Calibri" w:eastAsia="楷体_GB2312"/>
          <w:b/>
          <w:bCs/>
          <w:color w:val="000000" w:themeColor="text1"/>
          <w:sz w:val="32"/>
          <w:szCs w:val="32"/>
          <w:highlight w:val="none"/>
          <w:shd w:val="clear" w:color="auto" w:fill="FFFFFF"/>
          <w:lang w:eastAsia="zh-CN"/>
          <w14:textFill>
            <w14:solidFill>
              <w14:schemeClr w14:val="tx1"/>
            </w14:solidFill>
          </w14:textFill>
        </w:rPr>
        <w:t>上加力</w:t>
      </w:r>
      <w:r>
        <w:rPr>
          <w:rFonts w:hint="eastAsia" w:ascii="楷体_GB2312" w:hAnsi="Calibri" w:eastAsia="楷体_GB2312"/>
          <w:b/>
          <w:bCs/>
          <w:color w:val="000000" w:themeColor="text1"/>
          <w:sz w:val="32"/>
          <w:szCs w:val="32"/>
          <w:highlight w:val="none"/>
          <w:shd w:val="clear" w:color="auto" w:fill="FFFFFF"/>
          <w14:textFill>
            <w14:solidFill>
              <w14:schemeClr w14:val="tx1"/>
            </w14:solidFill>
          </w14:textFill>
        </w:rPr>
        <w:t>。</w:t>
      </w:r>
    </w:p>
    <w:p w14:paraId="54044D62">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ascii="仿宋_GB2312" w:eastAsia="仿宋_GB2312"/>
          <w:b/>
          <w:bCs/>
          <w:color w:val="000000" w:themeColor="text1"/>
          <w:sz w:val="32"/>
          <w:szCs w:val="32"/>
          <w:highlight w:val="none"/>
          <w14:textFill>
            <w14:solidFill>
              <w14:schemeClr w14:val="tx1"/>
            </w14:solidFill>
          </w14:textFill>
        </w:rPr>
      </w:pPr>
      <w:r>
        <w:rPr>
          <w:rFonts w:hint="eastAsia" w:ascii="仿宋_GB2312" w:hAnsi="Times New Roman" w:eastAsia="仿宋_GB2312" w:cs="仿宋_GB2312"/>
          <w:color w:val="000000" w:themeColor="text1"/>
          <w:sz w:val="32"/>
          <w:szCs w:val="32"/>
          <w:highlight w:val="none"/>
          <w:u w:color="000000"/>
          <w:lang w:eastAsia="zh-CN"/>
          <w14:textFill>
            <w14:solidFill>
              <w14:schemeClr w14:val="tx1"/>
            </w14:solidFill>
          </w14:textFill>
        </w:rPr>
        <w:t>健全完善</w:t>
      </w:r>
      <w:r>
        <w:rPr>
          <w:rFonts w:hint="eastAsia" w:ascii="仿宋_GB2312" w:hAnsi="Times New Roman" w:eastAsia="仿宋_GB2312" w:cs="仿宋_GB2312"/>
          <w:color w:val="000000" w:themeColor="text1"/>
          <w:sz w:val="32"/>
          <w:szCs w:val="32"/>
          <w:highlight w:val="none"/>
          <w:u w:color="000000"/>
          <w14:textFill>
            <w14:solidFill>
              <w14:schemeClr w14:val="tx1"/>
            </w14:solidFill>
          </w14:textFill>
        </w:rPr>
        <w:t>“五位一体”财会监督体系，健全财会监督工作机制，持续加强全县行政事业单位和县属国有企业财会监督检查，坚持方向不变、力度不减，紧盯问题不放松，常抓整改不懈怠。</w:t>
      </w:r>
      <w:r>
        <w:rPr>
          <w:rFonts w:hint="eastAsia" w:ascii="仿宋_GB2312" w:eastAsia="仿宋_GB2312" w:cs="仿宋_GB2312"/>
          <w:color w:val="000000" w:themeColor="text1"/>
          <w:sz w:val="32"/>
          <w:szCs w:val="32"/>
          <w:highlight w:val="none"/>
          <w:u w:color="000000"/>
          <w:lang w:eastAsia="zh-CN"/>
          <w14:textFill>
            <w14:solidFill>
              <w14:schemeClr w14:val="tx1"/>
            </w14:solidFill>
          </w14:textFill>
        </w:rPr>
        <w:t>充分应用</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肃南县</w:t>
      </w:r>
      <w:r>
        <w:rPr>
          <w:rFonts w:ascii="仿宋_GB2312" w:hAnsi="仿宋_GB2312" w:eastAsia="仿宋_GB2312" w:cs="仿宋_GB2312"/>
          <w:sz w:val="32"/>
          <w:szCs w:val="32"/>
          <w:highlight w:val="none"/>
        </w:rPr>
        <w:t>进一步加强财会监督工作</w:t>
      </w:r>
      <w:r>
        <w:rPr>
          <w:rFonts w:hint="eastAsia" w:ascii="仿宋_GB2312" w:hAnsi="仿宋_GB2312" w:eastAsia="仿宋_GB2312" w:cs="仿宋_GB2312"/>
          <w:sz w:val="32"/>
          <w:szCs w:val="32"/>
          <w:highlight w:val="none"/>
        </w:rPr>
        <w:t>实施方案》</w:t>
      </w:r>
      <w:r>
        <w:rPr>
          <w:rFonts w:hint="eastAsia" w:ascii="仿宋_GB2312" w:hAnsi="仿宋_GB2312" w:eastAsia="仿宋_GB2312" w:cs="仿宋_GB2312"/>
          <w:sz w:val="32"/>
          <w:szCs w:val="32"/>
          <w:highlight w:val="none"/>
          <w:lang w:eastAsia="zh-CN"/>
        </w:rPr>
        <w:t>要求，</w:t>
      </w:r>
      <w:r>
        <w:rPr>
          <w:rFonts w:hint="eastAsia" w:ascii="仿宋_GB2312" w:eastAsia="仿宋_GB2312" w:cs="仿宋_GB2312"/>
          <w:color w:val="000000" w:themeColor="text1"/>
          <w:sz w:val="32"/>
          <w:szCs w:val="32"/>
          <w:highlight w:val="none"/>
          <w:u w:color="000000"/>
          <w14:textFill>
            <w14:solidFill>
              <w14:schemeClr w14:val="tx1"/>
            </w14:solidFill>
          </w14:textFill>
        </w:rPr>
        <w:t>完善配套制度，健全监督机制，加大监督力度。突出监督重点，强化对重点项目、民生支出等财政资金的监督检查力度，不断扩大检查覆盖面，进一步严肃财经纪律，规范资金管理，确保资金安全运行。</w:t>
      </w:r>
      <w:r>
        <w:rPr>
          <w:rFonts w:hint="eastAsia" w:ascii="仿宋_GB2312" w:hAnsi="仿宋" w:eastAsia="仿宋_GB2312" w:cs="仿宋_GB2312"/>
          <w:color w:val="000000" w:themeColor="text1"/>
          <w:sz w:val="32"/>
          <w:szCs w:val="32"/>
          <w:highlight w:val="none"/>
          <w14:textFill>
            <w14:solidFill>
              <w14:schemeClr w14:val="tx1"/>
            </w14:solidFill>
          </w14:textFill>
        </w:rPr>
        <w:t>自觉接受县人大、县政协、审计和社会各界监督，按要求向人大及常委会报告财政预算安排、调整、执行等情况，不断完善预决算公开的范围、内容和载体，提高财政行为公信力</w:t>
      </w:r>
      <w:r>
        <w:rPr>
          <w:rFonts w:hint="eastAsia" w:ascii="仿宋_GB2312" w:hAnsi="仿宋" w:eastAsia="仿宋_GB2312" w:cs="仿宋_GB2312"/>
          <w:color w:val="000000" w:themeColor="text1"/>
          <w:sz w:val="32"/>
          <w:szCs w:val="32"/>
          <w:highlight w:val="none"/>
          <w:lang w:eastAsia="zh-CN"/>
          <w14:textFill>
            <w14:solidFill>
              <w14:schemeClr w14:val="tx1"/>
            </w14:solidFill>
          </w14:textFill>
        </w:rPr>
        <w:t>。</w:t>
      </w:r>
    </w:p>
    <w:p w14:paraId="3ED71D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Times New Roman" w:eastAsia="仿宋_GB2312" w:cs="仿宋_GB2312"/>
          <w:color w:val="000000" w:themeColor="text1"/>
          <w:kern w:val="2"/>
          <w:sz w:val="32"/>
          <w:szCs w:val="32"/>
          <w:highlight w:val="none"/>
          <w:u w:color="000000"/>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32"/>
          <w:szCs w:val="32"/>
          <w:highlight w:val="none"/>
          <w:u w:color="000000"/>
          <w:lang w:val="en-US" w:eastAsia="zh-CN" w:bidi="ar-SA"/>
          <w14:textFill>
            <w14:solidFill>
              <w14:schemeClr w14:val="tx1"/>
            </w14:solidFill>
          </w14:textFill>
        </w:rPr>
        <w:t>各位代表，2025年财政收支压力大，工作任务艰巨，我们将在县委的坚强领导下，主动接受县人大监督，认真听取县政协意见，汲取财政管理改革宝贵经验，深化财政工作规律认识，锚定财政事业发展方向，埋头苦干、勇毅前行，推动财政保障能力达到新水平，财政调控水平得到新提升，财税体制改革迈出新步伐，财政可持续发展取得新成效，财政治理效能实现新突破，为奋力谱写全县经济社会高质量发展新篇章做出新贡献！</w:t>
      </w:r>
    </w:p>
    <w:p w14:paraId="43444AFC">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方正小标宋简体" w:eastAsia="方正小标宋简体" w:cs="仿宋_GB2312"/>
          <w:color w:val="000000" w:themeColor="text1"/>
          <w:sz w:val="44"/>
          <w:szCs w:val="44"/>
          <w:highlight w:val="none"/>
          <w14:textFill>
            <w14:solidFill>
              <w14:schemeClr w14:val="tx1"/>
            </w14:solidFill>
          </w14:textFill>
        </w:rPr>
        <w:br w:type="page"/>
      </w:r>
    </w:p>
    <w:p w14:paraId="77AEBDB3">
      <w:pPr>
        <w:keepNext w:val="0"/>
        <w:keepLines w:val="0"/>
        <w:pageBreakBefore w:val="0"/>
        <w:widowControl w:val="0"/>
        <w:kinsoku/>
        <w:wordWrap/>
        <w:overflowPunct/>
        <w:topLinePunct w:val="0"/>
        <w:autoSpaceDE/>
        <w:autoSpaceDN/>
        <w:bidi w:val="0"/>
        <w:spacing w:line="560" w:lineRule="exact"/>
        <w:ind w:firstLine="2860" w:firstLineChars="650"/>
        <w:textAlignment w:val="auto"/>
        <w:rPr>
          <w:rFonts w:ascii="方正小标宋简体" w:eastAsia="方正小标宋简体" w:cs="仿宋_GB2312"/>
          <w:color w:val="000000" w:themeColor="text1"/>
          <w:sz w:val="44"/>
          <w:szCs w:val="44"/>
          <w:highlight w:val="none"/>
          <w14:textFill>
            <w14:solidFill>
              <w14:schemeClr w14:val="tx1"/>
            </w14:solidFill>
          </w14:textFill>
        </w:rPr>
      </w:pPr>
      <w:r>
        <w:rPr>
          <w:rFonts w:hint="eastAsia" w:ascii="方正小标宋简体" w:eastAsia="方正小标宋简体" w:cs="仿宋_GB2312"/>
          <w:color w:val="000000" w:themeColor="text1"/>
          <w:sz w:val="44"/>
          <w:szCs w:val="44"/>
          <w:highlight w:val="none"/>
          <w14:textFill>
            <w14:solidFill>
              <w14:schemeClr w14:val="tx1"/>
            </w14:solidFill>
          </w14:textFill>
        </w:rPr>
        <w:t>主要名词解释</w:t>
      </w:r>
    </w:p>
    <w:p w14:paraId="1C52548B">
      <w:pPr>
        <w:keepNext w:val="0"/>
        <w:keepLines w:val="0"/>
        <w:pageBreakBefore w:val="0"/>
        <w:widowControl w:val="0"/>
        <w:kinsoku/>
        <w:wordWrap/>
        <w:overflowPunct/>
        <w:topLinePunct w:val="0"/>
        <w:autoSpaceDE/>
        <w:autoSpaceDN/>
        <w:bidi w:val="0"/>
        <w:spacing w:line="560" w:lineRule="exact"/>
        <w:textAlignment w:val="auto"/>
        <w:rPr>
          <w:rFonts w:ascii="仿宋_GB2312" w:eastAsia="仿宋_GB2312" w:cs="仿宋_GB2312"/>
          <w:color w:val="000000" w:themeColor="text1"/>
          <w:sz w:val="32"/>
          <w:szCs w:val="32"/>
          <w:highlight w:val="none"/>
          <w14:textFill>
            <w14:solidFill>
              <w14:schemeClr w14:val="tx1"/>
            </w14:solidFill>
          </w14:textFill>
        </w:rPr>
      </w:pPr>
    </w:p>
    <w:p w14:paraId="7FE2945B">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14:textFill>
            <w14:solidFill>
              <w14:schemeClr w14:val="tx1"/>
            </w14:solidFill>
          </w14:textFill>
        </w:rPr>
        <w:t>1.一般公共预算</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是对以税收为主体的财政收入</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安排用于保障和改善民生、推动经济社会发展、维护国家安全、维持国家机构正常运转等方面的收支预算。一般公共预算收入</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即以往所指的“地方财政收入”、“公共财政收入”</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是指财政收入地方留成部分</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由税收收入和非税收入两部分组成。</w:t>
      </w:r>
    </w:p>
    <w:p w14:paraId="2EE66E33">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14:textFill>
            <w14:solidFill>
              <w14:schemeClr w14:val="tx1"/>
            </w14:solidFill>
          </w14:textFill>
        </w:rPr>
        <w:t>2.政府性基金预算</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政府性基金预算是对依照法律、行政法规的规定在一定期限内向特定对象征收、收取或者以其他方式筹集的资金</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专项用于特定公共事业发展的收支预算。</w:t>
      </w:r>
    </w:p>
    <w:p w14:paraId="2DE54100">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14:textFill>
            <w14:solidFill>
              <w14:schemeClr w14:val="tx1"/>
            </w14:solidFill>
          </w14:textFill>
        </w:rPr>
        <w:t>3.国有资本经营预算</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是对国有资本收益作出支出安排的收支预算。</w:t>
      </w:r>
    </w:p>
    <w:p w14:paraId="10FF7D70">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14:textFill>
            <w14:solidFill>
              <w14:schemeClr w14:val="tx1"/>
            </w14:solidFill>
          </w14:textFill>
        </w:rPr>
        <w:t>4.社会保险基金预算</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是对社会保险缴款、一般公共预算安排和其他方式筹集的资金</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专项用于社会保险的收支预算。</w:t>
      </w:r>
    </w:p>
    <w:p w14:paraId="2581440F">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5</w:t>
      </w:r>
      <w:r>
        <w:rPr>
          <w:rFonts w:hint="eastAsia" w:ascii="仿宋_GB2312" w:eastAsia="仿宋_GB2312" w:cs="仿宋_GB2312"/>
          <w:b/>
          <w:bCs/>
          <w:color w:val="000000" w:themeColor="text1"/>
          <w:sz w:val="32"/>
          <w:szCs w:val="32"/>
          <w:highlight w:val="none"/>
          <w14:textFill>
            <w14:solidFill>
              <w14:schemeClr w14:val="tx1"/>
            </w14:solidFill>
          </w14:textFill>
        </w:rPr>
        <w:t>.政府债务</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是指由各级政府承担直接偿还责任的债务。新预算法实施后</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地方政府举借债务主要通过发行地方政府债券方式筹措。</w:t>
      </w:r>
    </w:p>
    <w:p w14:paraId="7CB6A295">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6</w:t>
      </w:r>
      <w:r>
        <w:rPr>
          <w:rFonts w:hint="eastAsia" w:ascii="仿宋_GB2312" w:eastAsia="仿宋_GB2312" w:cs="仿宋_GB2312"/>
          <w:b/>
          <w:bCs/>
          <w:color w:val="000000" w:themeColor="text1"/>
          <w:sz w:val="32"/>
          <w:szCs w:val="32"/>
          <w:highlight w:val="none"/>
          <w14:textFill>
            <w14:solidFill>
              <w14:schemeClr w14:val="tx1"/>
            </w14:solidFill>
          </w14:textFill>
        </w:rPr>
        <w:t>.政府债务率</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是指限额内政府债务余额占当年政府综合财力的比重</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是衡量政府债务风险程度的重要指标。</w:t>
      </w:r>
    </w:p>
    <w:p w14:paraId="5861D6C6">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7</w:t>
      </w:r>
      <w:r>
        <w:rPr>
          <w:rFonts w:hint="eastAsia" w:ascii="仿宋_GB2312" w:eastAsia="仿宋_GB2312" w:cs="仿宋_GB2312"/>
          <w:b/>
          <w:bCs/>
          <w:color w:val="000000" w:themeColor="text1"/>
          <w:sz w:val="32"/>
          <w:szCs w:val="32"/>
          <w:highlight w:val="none"/>
          <w14:textFill>
            <w14:solidFill>
              <w14:schemeClr w14:val="tx1"/>
            </w14:solidFill>
          </w14:textFill>
        </w:rPr>
        <w:t>.地方政府债务限额</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是指地方政府举借债务不得突破的规模</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是地方政府债务的“天花板”。年度地方政府债务限额等于上年地方政府债务限额加上当年新增政府债务限额</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具体分为一般债务限额和专项债务限额。</w:t>
      </w:r>
    </w:p>
    <w:p w14:paraId="658DE544">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8</w:t>
      </w:r>
      <w:r>
        <w:rPr>
          <w:rFonts w:hint="eastAsia" w:ascii="仿宋_GB2312" w:eastAsia="仿宋_GB2312" w:cs="仿宋_GB2312"/>
          <w:b/>
          <w:bCs/>
          <w:color w:val="000000" w:themeColor="text1"/>
          <w:sz w:val="32"/>
          <w:szCs w:val="32"/>
          <w:highlight w:val="none"/>
          <w14:textFill>
            <w14:solidFill>
              <w14:schemeClr w14:val="tx1"/>
            </w14:solidFill>
          </w14:textFill>
        </w:rPr>
        <w:t>.一般债务</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是指列入一般公共预算用于公益性事业发展的一般债券、地方政府负有偿还责任的外国政府和国际经济组织贷款转贷债务。</w:t>
      </w:r>
    </w:p>
    <w:p w14:paraId="200D24B0">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9</w:t>
      </w:r>
      <w:r>
        <w:rPr>
          <w:rFonts w:hint="eastAsia" w:ascii="仿宋_GB2312" w:eastAsia="仿宋_GB2312" w:cs="仿宋_GB2312"/>
          <w:b/>
          <w:bCs/>
          <w:color w:val="000000" w:themeColor="text1"/>
          <w:sz w:val="32"/>
          <w:szCs w:val="32"/>
          <w:highlight w:val="none"/>
          <w14:textFill>
            <w14:solidFill>
              <w14:schemeClr w14:val="tx1"/>
            </w14:solidFill>
          </w14:textFill>
        </w:rPr>
        <w:t>.专项债务</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是指列入政府性基金预算用于有收益的公益性事业发展的专项债券。</w:t>
      </w:r>
    </w:p>
    <w:p w14:paraId="21E8C8C0">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10</w:t>
      </w:r>
      <w:r>
        <w:rPr>
          <w:rFonts w:hint="eastAsia" w:ascii="仿宋_GB2312" w:eastAsia="仿宋_GB2312" w:cs="仿宋_GB2312"/>
          <w:b/>
          <w:bCs/>
          <w:color w:val="000000" w:themeColor="text1"/>
          <w:sz w:val="32"/>
          <w:szCs w:val="32"/>
          <w:highlight w:val="none"/>
          <w14:textFill>
            <w14:solidFill>
              <w14:schemeClr w14:val="tx1"/>
            </w14:solidFill>
          </w14:textFill>
        </w:rPr>
        <w:t>.再融资债券</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是指为偿还到期政府债务本金发行的地方政府债券。</w:t>
      </w:r>
    </w:p>
    <w:p w14:paraId="062BEB01">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11</w:t>
      </w:r>
      <w:r>
        <w:rPr>
          <w:rFonts w:hint="eastAsia" w:ascii="仿宋_GB2312" w:eastAsia="仿宋_GB2312" w:cs="仿宋_GB2312"/>
          <w:b/>
          <w:bCs/>
          <w:color w:val="000000" w:themeColor="text1"/>
          <w:sz w:val="32"/>
          <w:szCs w:val="32"/>
          <w:highlight w:val="none"/>
          <w14:textFill>
            <w14:solidFill>
              <w14:schemeClr w14:val="tx1"/>
            </w14:solidFill>
          </w14:textFill>
        </w:rPr>
        <w:t>.民生支出</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lang w:eastAsia="zh-CN"/>
          <w14:textFill>
            <w14:solidFill>
              <w14:schemeClr w14:val="tx1"/>
            </w14:solidFill>
          </w14:textFill>
        </w:rPr>
        <w:t>指与人民群众生活直接相关的教育、卫生健康、文体传媒、农林水利、社保就业等方面的支出，以及与人民群众生活密切相关的公共基础设施建设等方面支出</w:t>
      </w:r>
      <w:r>
        <w:rPr>
          <w:rFonts w:hint="eastAsia" w:ascii="仿宋_GB2312" w:eastAsia="仿宋_GB2312" w:cs="仿宋_GB2312"/>
          <w:color w:val="000000" w:themeColor="text1"/>
          <w:sz w:val="32"/>
          <w:szCs w:val="32"/>
          <w:highlight w:val="none"/>
          <w14:textFill>
            <w14:solidFill>
              <w14:schemeClr w14:val="tx1"/>
            </w14:solidFill>
          </w14:textFill>
        </w:rPr>
        <w:t>。</w:t>
      </w:r>
    </w:p>
    <w:p w14:paraId="2257D2BC">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12</w:t>
      </w:r>
      <w:r>
        <w:rPr>
          <w:rFonts w:hint="eastAsia" w:ascii="仿宋_GB2312" w:eastAsia="仿宋_GB2312" w:cs="仿宋_GB2312"/>
          <w:b/>
          <w:bCs/>
          <w:color w:val="000000" w:themeColor="text1"/>
          <w:sz w:val="32"/>
          <w:szCs w:val="32"/>
          <w:highlight w:val="none"/>
          <w14:textFill>
            <w14:solidFill>
              <w14:schemeClr w14:val="tx1"/>
            </w14:solidFill>
          </w14:textFill>
        </w:rPr>
        <w:t>.财政资金直达机制</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是指财政资金直达基层民生的特殊转移支付机制</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是党中央、国务院为应对疫情影响作出的重大决策部署</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是支持地方扎实做好“六稳”工作、落实“六保”任务的创新举措。</w:t>
      </w:r>
    </w:p>
    <w:p w14:paraId="008943C0">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13</w:t>
      </w:r>
      <w:r>
        <w:rPr>
          <w:rFonts w:hint="eastAsia" w:ascii="仿宋_GB2312" w:eastAsia="仿宋_GB2312" w:cs="仿宋_GB2312"/>
          <w:b/>
          <w:bCs/>
          <w:color w:val="000000" w:themeColor="text1"/>
          <w:sz w:val="32"/>
          <w:szCs w:val="32"/>
          <w:highlight w:val="none"/>
          <w14:textFill>
            <w14:solidFill>
              <w14:schemeClr w14:val="tx1"/>
            </w14:solidFill>
          </w14:textFill>
        </w:rPr>
        <w:t>.三保</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是指基层“保基本民生、保工资、保运转”</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是财政资金优先保障的领域</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也是政府必须坚守的底线。</w:t>
      </w:r>
    </w:p>
    <w:p w14:paraId="146E9FE0">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14</w:t>
      </w:r>
      <w:r>
        <w:rPr>
          <w:rFonts w:hint="eastAsia" w:ascii="仿宋_GB2312" w:eastAsia="仿宋_GB2312" w:cs="仿宋_GB2312"/>
          <w:b/>
          <w:bCs/>
          <w:color w:val="000000" w:themeColor="text1"/>
          <w:sz w:val="32"/>
          <w:szCs w:val="32"/>
          <w:highlight w:val="none"/>
          <w14:textFill>
            <w14:solidFill>
              <w14:schemeClr w14:val="tx1"/>
            </w14:solidFill>
          </w14:textFill>
        </w:rPr>
        <w:t>.存量资金</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是指收入已经发生、尚未安排预算，或者预算已经安排、尚未形成实际支出的财政资金，包括一般公共预算、政府性基金、国有资本经营预算等各类结转结余资金以及预算稳定调节基金、其他财政专户资金等。</w:t>
      </w:r>
    </w:p>
    <w:p w14:paraId="628440B8">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15</w:t>
      </w:r>
      <w:r>
        <w:rPr>
          <w:rFonts w:hint="eastAsia" w:ascii="仿宋_GB2312" w:eastAsia="仿宋_GB2312" w:cs="仿宋_GB2312"/>
          <w:b/>
          <w:bCs/>
          <w:color w:val="000000" w:themeColor="text1"/>
          <w:sz w:val="32"/>
          <w:szCs w:val="32"/>
          <w:highlight w:val="none"/>
          <w14:textFill>
            <w14:solidFill>
              <w14:schemeClr w14:val="tx1"/>
            </w14:solidFill>
          </w14:textFill>
        </w:rPr>
        <w:t>.预算绩效管理</w:t>
      </w:r>
      <w:r>
        <w:rPr>
          <w:rFonts w:hint="eastAsia" w:asci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是指以预算为对象开展的绩效管理，是将绩效管理理念和绩效管理方法贯穿于预算编制、执行、监督的全过程的一种管理模式，通过促使预算部门和资金使用单位在预算额度内更多更好提供符合需求的公共产品和服务(数量、质量)，以优化预算资源配置，提升预算支出绩效。</w:t>
      </w:r>
    </w:p>
    <w:sectPr>
      <w:footerReference r:id="rId5" w:type="default"/>
      <w:footerReference r:id="rId6" w:type="even"/>
      <w:type w:val="oddPage"/>
      <w:pgSz w:w="11905" w:h="16838"/>
      <w:pgMar w:top="1587" w:right="1587" w:bottom="1587" w:left="1587" w:header="851" w:footer="1417" w:gutter="0"/>
      <w:pgNumType w:fmt="numberInDash" w:start="1"/>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魏碑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FAC9F">
    <w:pPr>
      <w:pStyle w:val="9"/>
      <w:jc w:val="right"/>
      <w:rPr>
        <w:rFonts w:cs="Times New Roman"/>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宋体"/>
                              <w:sz w:val="28"/>
                              <w:szCs w:val="28"/>
                            </w:rPr>
                            <w:id w:val="-1"/>
                          </w:sdtPr>
                          <w:sdtEndPr>
                            <w:rPr>
                              <w:rFonts w:ascii="宋体"/>
                              <w:sz w:val="28"/>
                              <w:szCs w:val="28"/>
                            </w:rPr>
                          </w:sdtEndPr>
                          <w:sdtContent>
                            <w:p w14:paraId="5B54EE61">
                              <w:pPr>
                                <w:pStyle w:val="9"/>
                                <w:jc w:val="right"/>
                                <w:rPr>
                                  <w:rFonts w:ascii="宋体"/>
                                  <w:sz w:val="28"/>
                                  <w:szCs w:val="28"/>
                                </w:rPr>
                              </w:pPr>
                            </w:p>
                          </w:sdtContent>
                        </w:sdt>
                        <w:p w14:paraId="6CE46C79">
                          <w:pPr>
                            <w:rPr>
                              <w:rFonts w:ascii="宋体"/>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sdt>
                    <w:sdtPr>
                      <w:rPr>
                        <w:rFonts w:ascii="宋体"/>
                        <w:sz w:val="28"/>
                        <w:szCs w:val="28"/>
                      </w:rPr>
                      <w:id w:val="-1"/>
                    </w:sdtPr>
                    <w:sdtEndPr>
                      <w:rPr>
                        <w:rFonts w:ascii="宋体"/>
                        <w:sz w:val="28"/>
                        <w:szCs w:val="28"/>
                      </w:rPr>
                    </w:sdtEndPr>
                    <w:sdtContent>
                      <w:p w14:paraId="5B54EE61">
                        <w:pPr>
                          <w:pStyle w:val="9"/>
                          <w:jc w:val="right"/>
                          <w:rPr>
                            <w:rFonts w:ascii="宋体"/>
                            <w:sz w:val="28"/>
                            <w:szCs w:val="28"/>
                          </w:rPr>
                        </w:pPr>
                      </w:p>
                    </w:sdtContent>
                  </w:sdt>
                  <w:p w14:paraId="6CE46C79">
                    <w:pPr>
                      <w:rPr>
                        <w:rFonts w:ascii="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2F97A">
    <w:pPr>
      <w:pStyle w:val="9"/>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宋体"/>
                              <w:sz w:val="28"/>
                              <w:szCs w:val="28"/>
                            </w:rPr>
                            <w:id w:val="700086935"/>
                          </w:sdtPr>
                          <w:sdtEndPr>
                            <w:rPr>
                              <w:rFonts w:ascii="宋体"/>
                              <w:sz w:val="28"/>
                              <w:szCs w:val="28"/>
                            </w:rPr>
                          </w:sdtEndPr>
                          <w:sdtContent>
                            <w:p w14:paraId="298F9C8C">
                              <w:pPr>
                                <w:pStyle w:val="9"/>
                                <w:rPr>
                                  <w:rFonts w:ascii="宋体"/>
                                  <w:sz w:val="28"/>
                                  <w:szCs w:val="28"/>
                                </w:rPr>
                              </w:pPr>
                            </w:p>
                          </w:sdtContent>
                        </w:sdt>
                        <w:p w14:paraId="3550ABFD">
                          <w:pPr>
                            <w:rPr>
                              <w:rFonts w:ascii="宋体"/>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rPr>
                        <w:rFonts w:ascii="宋体"/>
                        <w:sz w:val="28"/>
                        <w:szCs w:val="28"/>
                      </w:rPr>
                      <w:id w:val="700086935"/>
                    </w:sdtPr>
                    <w:sdtEndPr>
                      <w:rPr>
                        <w:rFonts w:ascii="宋体"/>
                        <w:sz w:val="28"/>
                        <w:szCs w:val="28"/>
                      </w:rPr>
                    </w:sdtEndPr>
                    <w:sdtContent>
                      <w:p w14:paraId="298F9C8C">
                        <w:pPr>
                          <w:pStyle w:val="9"/>
                          <w:rPr>
                            <w:rFonts w:ascii="宋体"/>
                            <w:sz w:val="28"/>
                            <w:szCs w:val="28"/>
                          </w:rPr>
                        </w:pPr>
                      </w:p>
                    </w:sdtContent>
                  </w:sdt>
                  <w:p w14:paraId="3550ABFD">
                    <w:pPr>
                      <w:rPr>
                        <w:rFonts w:ascii="宋体"/>
                        <w:sz w:val="28"/>
                        <w:szCs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E75B5">
    <w:pPr>
      <w:pStyle w:val="9"/>
      <w:jc w:val="right"/>
      <w:rPr>
        <w:rFonts w:cs="Times New Roman"/>
      </w:rP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宋体"/>
                              <w:sz w:val="28"/>
                              <w:szCs w:val="28"/>
                            </w:rPr>
                            <w:id w:val="147478844"/>
                          </w:sdtPr>
                          <w:sdtEndPr>
                            <w:rPr>
                              <w:rFonts w:ascii="宋体"/>
                              <w:sz w:val="28"/>
                              <w:szCs w:val="28"/>
                            </w:rPr>
                          </w:sdtEndPr>
                          <w:sdtContent>
                            <w:p w14:paraId="22FA2877">
                              <w:pPr>
                                <w:pStyle w:val="9"/>
                                <w:jc w:val="right"/>
                                <w:rPr>
                                  <w:rFonts w:ascii="宋体"/>
                                  <w:sz w:val="28"/>
                                  <w:szCs w:val="28"/>
                                </w:rPr>
                              </w:pPr>
                              <w:r>
                                <w:rPr>
                                  <w:rFonts w:ascii="宋体"/>
                                  <w:sz w:val="28"/>
                                  <w:szCs w:val="28"/>
                                </w:rPr>
                                <w:fldChar w:fldCharType="begin"/>
                              </w:r>
                              <w:r>
                                <w:rPr>
                                  <w:rFonts w:ascii="宋体"/>
                                  <w:sz w:val="28"/>
                                  <w:szCs w:val="28"/>
                                </w:rPr>
                                <w:instrText xml:space="preserve">PAGE   \* MERGEFORMAT</w:instrText>
                              </w:r>
                              <w:r>
                                <w:rPr>
                                  <w:rFonts w:ascii="宋体"/>
                                  <w:sz w:val="28"/>
                                  <w:szCs w:val="28"/>
                                </w:rPr>
                                <w:fldChar w:fldCharType="separate"/>
                              </w:r>
                              <w:r>
                                <w:rPr>
                                  <w:rFonts w:ascii="宋体"/>
                                  <w:sz w:val="28"/>
                                  <w:szCs w:val="28"/>
                                  <w:lang w:val="zh-CN"/>
                                </w:rPr>
                                <w:t>-</w:t>
                              </w:r>
                              <w:r>
                                <w:rPr>
                                  <w:rFonts w:ascii="宋体"/>
                                  <w:sz w:val="28"/>
                                  <w:szCs w:val="28"/>
                                </w:rPr>
                                <w:t xml:space="preserve"> 17 -</w:t>
                              </w:r>
                              <w:r>
                                <w:rPr>
                                  <w:rFonts w:ascii="宋体"/>
                                  <w:sz w:val="28"/>
                                  <w:szCs w:val="28"/>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sdt>
                    <w:sdtPr>
                      <w:rPr>
                        <w:rFonts w:ascii="宋体"/>
                        <w:sz w:val="28"/>
                        <w:szCs w:val="28"/>
                      </w:rPr>
                      <w:id w:val="147478844"/>
                    </w:sdtPr>
                    <w:sdtEndPr>
                      <w:rPr>
                        <w:rFonts w:ascii="宋体"/>
                        <w:sz w:val="28"/>
                        <w:szCs w:val="28"/>
                      </w:rPr>
                    </w:sdtEndPr>
                    <w:sdtContent>
                      <w:p w14:paraId="22FA2877">
                        <w:pPr>
                          <w:pStyle w:val="9"/>
                          <w:jc w:val="right"/>
                          <w:rPr>
                            <w:rFonts w:ascii="宋体"/>
                            <w:sz w:val="28"/>
                            <w:szCs w:val="28"/>
                          </w:rPr>
                        </w:pPr>
                        <w:r>
                          <w:rPr>
                            <w:rFonts w:ascii="宋体"/>
                            <w:sz w:val="28"/>
                            <w:szCs w:val="28"/>
                          </w:rPr>
                          <w:fldChar w:fldCharType="begin"/>
                        </w:r>
                        <w:r>
                          <w:rPr>
                            <w:rFonts w:ascii="宋体"/>
                            <w:sz w:val="28"/>
                            <w:szCs w:val="28"/>
                          </w:rPr>
                          <w:instrText xml:space="preserve">PAGE   \* MERGEFORMAT</w:instrText>
                        </w:r>
                        <w:r>
                          <w:rPr>
                            <w:rFonts w:ascii="宋体"/>
                            <w:sz w:val="28"/>
                            <w:szCs w:val="28"/>
                          </w:rPr>
                          <w:fldChar w:fldCharType="separate"/>
                        </w:r>
                        <w:r>
                          <w:rPr>
                            <w:rFonts w:ascii="宋体"/>
                            <w:sz w:val="28"/>
                            <w:szCs w:val="28"/>
                            <w:lang w:val="zh-CN"/>
                          </w:rPr>
                          <w:t>-</w:t>
                        </w:r>
                        <w:r>
                          <w:rPr>
                            <w:rFonts w:ascii="宋体"/>
                            <w:sz w:val="28"/>
                            <w:szCs w:val="28"/>
                          </w:rPr>
                          <w:t xml:space="preserve"> 17 -</w:t>
                        </w:r>
                        <w:r>
                          <w:rPr>
                            <w:rFonts w:ascii="宋体"/>
                            <w:sz w:val="28"/>
                            <w:szCs w:val="28"/>
                          </w:rPr>
                          <w:fldChar w:fldCharType="end"/>
                        </w:r>
                      </w:p>
                    </w:sdtContent>
                  </w:sdt>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E63DA">
    <w:pPr>
      <w:pStyle w:val="9"/>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宋体"/>
                              <w:sz w:val="28"/>
                              <w:szCs w:val="28"/>
                            </w:rPr>
                            <w:id w:val="147460413"/>
                          </w:sdtPr>
                          <w:sdtEndPr>
                            <w:rPr>
                              <w:rFonts w:ascii="宋体"/>
                              <w:sz w:val="28"/>
                              <w:szCs w:val="28"/>
                            </w:rPr>
                          </w:sdtEndPr>
                          <w:sdtContent>
                            <w:p w14:paraId="366EE22F">
                              <w:pPr>
                                <w:pStyle w:val="9"/>
                                <w:rPr>
                                  <w:rFonts w:ascii="宋体"/>
                                  <w:sz w:val="28"/>
                                  <w:szCs w:val="28"/>
                                </w:rPr>
                              </w:pPr>
                              <w:r>
                                <w:rPr>
                                  <w:rFonts w:ascii="宋体"/>
                                  <w:sz w:val="28"/>
                                  <w:szCs w:val="28"/>
                                </w:rPr>
                                <w:fldChar w:fldCharType="begin"/>
                              </w:r>
                              <w:r>
                                <w:rPr>
                                  <w:rFonts w:ascii="宋体"/>
                                  <w:sz w:val="28"/>
                                  <w:szCs w:val="28"/>
                                </w:rPr>
                                <w:instrText xml:space="preserve">PAGE   \* MERGEFORMAT</w:instrText>
                              </w:r>
                              <w:r>
                                <w:rPr>
                                  <w:rFonts w:ascii="宋体"/>
                                  <w:sz w:val="28"/>
                                  <w:szCs w:val="28"/>
                                </w:rPr>
                                <w:fldChar w:fldCharType="separate"/>
                              </w:r>
                              <w:r>
                                <w:rPr>
                                  <w:rFonts w:ascii="宋体"/>
                                  <w:sz w:val="28"/>
                                  <w:szCs w:val="28"/>
                                  <w:lang w:val="zh-CN"/>
                                </w:rPr>
                                <w:t>-</w:t>
                              </w:r>
                              <w:r>
                                <w:rPr>
                                  <w:rFonts w:ascii="宋体"/>
                                  <w:sz w:val="28"/>
                                  <w:szCs w:val="28"/>
                                </w:rPr>
                                <w:t xml:space="preserve"> 18 -</w:t>
                              </w:r>
                              <w:r>
                                <w:rPr>
                                  <w:rFonts w:ascii="宋体"/>
                                  <w:sz w:val="28"/>
                                  <w:szCs w:val="28"/>
                                </w:rPr>
                                <w:fldChar w:fldCharType="end"/>
                              </w:r>
                            </w:p>
                          </w:sdtContent>
                        </w:sdt>
                        <w:p w14:paraId="1EC2E857">
                          <w:pPr>
                            <w:rPr>
                              <w:rFonts w:ascii="宋体"/>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sdt>
                    <w:sdtPr>
                      <w:rPr>
                        <w:rFonts w:ascii="宋体"/>
                        <w:sz w:val="28"/>
                        <w:szCs w:val="28"/>
                      </w:rPr>
                      <w:id w:val="147460413"/>
                    </w:sdtPr>
                    <w:sdtEndPr>
                      <w:rPr>
                        <w:rFonts w:ascii="宋体"/>
                        <w:sz w:val="28"/>
                        <w:szCs w:val="28"/>
                      </w:rPr>
                    </w:sdtEndPr>
                    <w:sdtContent>
                      <w:p w14:paraId="366EE22F">
                        <w:pPr>
                          <w:pStyle w:val="9"/>
                          <w:rPr>
                            <w:rFonts w:ascii="宋体"/>
                            <w:sz w:val="28"/>
                            <w:szCs w:val="28"/>
                          </w:rPr>
                        </w:pPr>
                        <w:r>
                          <w:rPr>
                            <w:rFonts w:ascii="宋体"/>
                            <w:sz w:val="28"/>
                            <w:szCs w:val="28"/>
                          </w:rPr>
                          <w:fldChar w:fldCharType="begin"/>
                        </w:r>
                        <w:r>
                          <w:rPr>
                            <w:rFonts w:ascii="宋体"/>
                            <w:sz w:val="28"/>
                            <w:szCs w:val="28"/>
                          </w:rPr>
                          <w:instrText xml:space="preserve">PAGE   \* MERGEFORMAT</w:instrText>
                        </w:r>
                        <w:r>
                          <w:rPr>
                            <w:rFonts w:ascii="宋体"/>
                            <w:sz w:val="28"/>
                            <w:szCs w:val="28"/>
                          </w:rPr>
                          <w:fldChar w:fldCharType="separate"/>
                        </w:r>
                        <w:r>
                          <w:rPr>
                            <w:rFonts w:ascii="宋体"/>
                            <w:sz w:val="28"/>
                            <w:szCs w:val="28"/>
                            <w:lang w:val="zh-CN"/>
                          </w:rPr>
                          <w:t>-</w:t>
                        </w:r>
                        <w:r>
                          <w:rPr>
                            <w:rFonts w:ascii="宋体"/>
                            <w:sz w:val="28"/>
                            <w:szCs w:val="28"/>
                          </w:rPr>
                          <w:t xml:space="preserve"> 18 -</w:t>
                        </w:r>
                        <w:r>
                          <w:rPr>
                            <w:rFonts w:ascii="宋体"/>
                            <w:sz w:val="28"/>
                            <w:szCs w:val="28"/>
                          </w:rPr>
                          <w:fldChar w:fldCharType="end"/>
                        </w:r>
                      </w:p>
                    </w:sdtContent>
                  </w:sdt>
                  <w:p w14:paraId="1EC2E857">
                    <w:pPr>
                      <w:rPr>
                        <w:rFonts w:ascii="宋体"/>
                        <w:sz w:val="28"/>
                        <w:szCs w:val="2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687FD6"/>
    <w:multiLevelType w:val="singleLevel"/>
    <w:tmpl w:val="E7687FD6"/>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mirrorMargins w:val="1"/>
  <w:bordersDoNotSurroundHeader w:val="0"/>
  <w:bordersDoNotSurroundFooter w:val="0"/>
  <w:documentProtection w:enforcement="0"/>
  <w:defaultTabStop w:val="420"/>
  <w:evenAndOddHeaders w:val="1"/>
  <w:drawingGridHorizontalSpacing w:val="105"/>
  <w:drawingGridVerticalSpacing w:val="159"/>
  <w:displayHorizontalDrawingGridEvery w:val="1"/>
  <w:displayVerticalDrawingGridEvery w:val="2"/>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kNGYwMzE1M2I4YzEyY2EyNzE4NjhiMTI0MDIzYzEifQ=="/>
  </w:docVars>
  <w:rsids>
    <w:rsidRoot w:val="00A85043"/>
    <w:rsid w:val="00022974"/>
    <w:rsid w:val="00035DDD"/>
    <w:rsid w:val="00052DA1"/>
    <w:rsid w:val="00064ADF"/>
    <w:rsid w:val="000A1016"/>
    <w:rsid w:val="000C1C64"/>
    <w:rsid w:val="000F354A"/>
    <w:rsid w:val="00156936"/>
    <w:rsid w:val="001C7258"/>
    <w:rsid w:val="002517AC"/>
    <w:rsid w:val="002567CF"/>
    <w:rsid w:val="0027442B"/>
    <w:rsid w:val="002951F3"/>
    <w:rsid w:val="00312811"/>
    <w:rsid w:val="003257AA"/>
    <w:rsid w:val="00344199"/>
    <w:rsid w:val="00345D8C"/>
    <w:rsid w:val="0038054E"/>
    <w:rsid w:val="00384CCE"/>
    <w:rsid w:val="003A5BA9"/>
    <w:rsid w:val="003C1D19"/>
    <w:rsid w:val="0043738D"/>
    <w:rsid w:val="005065F9"/>
    <w:rsid w:val="0052477D"/>
    <w:rsid w:val="00530B6E"/>
    <w:rsid w:val="005823D0"/>
    <w:rsid w:val="005907E6"/>
    <w:rsid w:val="00593431"/>
    <w:rsid w:val="005A0A3B"/>
    <w:rsid w:val="006033B3"/>
    <w:rsid w:val="00607F06"/>
    <w:rsid w:val="00664472"/>
    <w:rsid w:val="00752F5E"/>
    <w:rsid w:val="007870F6"/>
    <w:rsid w:val="00790A38"/>
    <w:rsid w:val="007E5879"/>
    <w:rsid w:val="00835307"/>
    <w:rsid w:val="00864ECA"/>
    <w:rsid w:val="008B6A8B"/>
    <w:rsid w:val="00923CD6"/>
    <w:rsid w:val="00932F8A"/>
    <w:rsid w:val="00954AA0"/>
    <w:rsid w:val="009B3FCA"/>
    <w:rsid w:val="009E72FA"/>
    <w:rsid w:val="00A30130"/>
    <w:rsid w:val="00A85043"/>
    <w:rsid w:val="00A97C67"/>
    <w:rsid w:val="00AA6E35"/>
    <w:rsid w:val="00AB16E2"/>
    <w:rsid w:val="00B43DA1"/>
    <w:rsid w:val="00B6585D"/>
    <w:rsid w:val="00B772B8"/>
    <w:rsid w:val="00B95487"/>
    <w:rsid w:val="00B955EE"/>
    <w:rsid w:val="00BA4DCE"/>
    <w:rsid w:val="00BB66B9"/>
    <w:rsid w:val="00BD2A16"/>
    <w:rsid w:val="00C1689D"/>
    <w:rsid w:val="00C35023"/>
    <w:rsid w:val="00CA6768"/>
    <w:rsid w:val="00CC00FF"/>
    <w:rsid w:val="00D020CC"/>
    <w:rsid w:val="00D14362"/>
    <w:rsid w:val="00D425EF"/>
    <w:rsid w:val="00D50862"/>
    <w:rsid w:val="00DA770E"/>
    <w:rsid w:val="00E00726"/>
    <w:rsid w:val="00E1797B"/>
    <w:rsid w:val="00F22361"/>
    <w:rsid w:val="00F8179F"/>
    <w:rsid w:val="00F950F9"/>
    <w:rsid w:val="00FA10E1"/>
    <w:rsid w:val="011B4FA9"/>
    <w:rsid w:val="01372640"/>
    <w:rsid w:val="013E151B"/>
    <w:rsid w:val="014A2067"/>
    <w:rsid w:val="01A2023D"/>
    <w:rsid w:val="01C761D7"/>
    <w:rsid w:val="01DE3485"/>
    <w:rsid w:val="01F9035B"/>
    <w:rsid w:val="01FD7E4B"/>
    <w:rsid w:val="02076F1C"/>
    <w:rsid w:val="022E11DB"/>
    <w:rsid w:val="024B505A"/>
    <w:rsid w:val="026F33EB"/>
    <w:rsid w:val="02AB5AF9"/>
    <w:rsid w:val="02D2752A"/>
    <w:rsid w:val="030E7E36"/>
    <w:rsid w:val="03123DCA"/>
    <w:rsid w:val="03324FEC"/>
    <w:rsid w:val="036738D3"/>
    <w:rsid w:val="038F1A7B"/>
    <w:rsid w:val="03FE01D6"/>
    <w:rsid w:val="04180F6C"/>
    <w:rsid w:val="04207E21"/>
    <w:rsid w:val="04444E78"/>
    <w:rsid w:val="048803F5"/>
    <w:rsid w:val="04BB59BE"/>
    <w:rsid w:val="04BD1B14"/>
    <w:rsid w:val="04C530E3"/>
    <w:rsid w:val="04C67AA0"/>
    <w:rsid w:val="05A21627"/>
    <w:rsid w:val="05B922DB"/>
    <w:rsid w:val="05C42D45"/>
    <w:rsid w:val="05CD6BB2"/>
    <w:rsid w:val="06846D8D"/>
    <w:rsid w:val="06B363BC"/>
    <w:rsid w:val="06BC6527"/>
    <w:rsid w:val="070B125C"/>
    <w:rsid w:val="073E4E99"/>
    <w:rsid w:val="073E518E"/>
    <w:rsid w:val="075F1780"/>
    <w:rsid w:val="077706A0"/>
    <w:rsid w:val="078B5EF9"/>
    <w:rsid w:val="07BC2556"/>
    <w:rsid w:val="08033CE1"/>
    <w:rsid w:val="081163FE"/>
    <w:rsid w:val="084E1401"/>
    <w:rsid w:val="08662CB5"/>
    <w:rsid w:val="08752E31"/>
    <w:rsid w:val="08B63BCD"/>
    <w:rsid w:val="08B651F8"/>
    <w:rsid w:val="08E514EF"/>
    <w:rsid w:val="08F97B10"/>
    <w:rsid w:val="0958005D"/>
    <w:rsid w:val="09594501"/>
    <w:rsid w:val="095F13EB"/>
    <w:rsid w:val="09BE3E08"/>
    <w:rsid w:val="09C26434"/>
    <w:rsid w:val="09D9119E"/>
    <w:rsid w:val="0A0501E5"/>
    <w:rsid w:val="0A0859FC"/>
    <w:rsid w:val="0A250E24"/>
    <w:rsid w:val="0A64315D"/>
    <w:rsid w:val="0A927936"/>
    <w:rsid w:val="0A943317"/>
    <w:rsid w:val="0AEE6ECB"/>
    <w:rsid w:val="0B1F52D6"/>
    <w:rsid w:val="0B27418B"/>
    <w:rsid w:val="0B5E5DFE"/>
    <w:rsid w:val="0BAE198D"/>
    <w:rsid w:val="0BCF0AAA"/>
    <w:rsid w:val="0C7B2583"/>
    <w:rsid w:val="0D10137A"/>
    <w:rsid w:val="0D3A01A5"/>
    <w:rsid w:val="0D3D7CF2"/>
    <w:rsid w:val="0D4D1437"/>
    <w:rsid w:val="0D85640E"/>
    <w:rsid w:val="0DB307C0"/>
    <w:rsid w:val="0DBA2CFE"/>
    <w:rsid w:val="0DC26018"/>
    <w:rsid w:val="0E9B4C74"/>
    <w:rsid w:val="0EC72809"/>
    <w:rsid w:val="0EEA1757"/>
    <w:rsid w:val="0EF80318"/>
    <w:rsid w:val="0F0441CB"/>
    <w:rsid w:val="0F29227F"/>
    <w:rsid w:val="0F2F1860"/>
    <w:rsid w:val="101C0036"/>
    <w:rsid w:val="10612472"/>
    <w:rsid w:val="108D683E"/>
    <w:rsid w:val="10CD1330"/>
    <w:rsid w:val="10E537B4"/>
    <w:rsid w:val="10FE06E8"/>
    <w:rsid w:val="110805BA"/>
    <w:rsid w:val="113733EE"/>
    <w:rsid w:val="113B51A5"/>
    <w:rsid w:val="113D2012"/>
    <w:rsid w:val="11524DD7"/>
    <w:rsid w:val="11E06779"/>
    <w:rsid w:val="11EE5A02"/>
    <w:rsid w:val="12385198"/>
    <w:rsid w:val="124B69B1"/>
    <w:rsid w:val="125070D2"/>
    <w:rsid w:val="12692C28"/>
    <w:rsid w:val="12865C3B"/>
    <w:rsid w:val="128B5A61"/>
    <w:rsid w:val="130D4E32"/>
    <w:rsid w:val="131221D4"/>
    <w:rsid w:val="13152710"/>
    <w:rsid w:val="13394A5B"/>
    <w:rsid w:val="133E02C4"/>
    <w:rsid w:val="137A6CB0"/>
    <w:rsid w:val="13806B2E"/>
    <w:rsid w:val="13E841C5"/>
    <w:rsid w:val="14045069"/>
    <w:rsid w:val="14373BDA"/>
    <w:rsid w:val="14495172"/>
    <w:rsid w:val="147E306D"/>
    <w:rsid w:val="147F2942"/>
    <w:rsid w:val="150965D5"/>
    <w:rsid w:val="151B0395"/>
    <w:rsid w:val="154D2173"/>
    <w:rsid w:val="156438C7"/>
    <w:rsid w:val="15712B1F"/>
    <w:rsid w:val="15785D0F"/>
    <w:rsid w:val="15B8610B"/>
    <w:rsid w:val="15B91E83"/>
    <w:rsid w:val="16021A3F"/>
    <w:rsid w:val="16327340"/>
    <w:rsid w:val="167E55A7"/>
    <w:rsid w:val="16E87B9A"/>
    <w:rsid w:val="171B1048"/>
    <w:rsid w:val="17266257"/>
    <w:rsid w:val="174133D1"/>
    <w:rsid w:val="17476013"/>
    <w:rsid w:val="174D4F79"/>
    <w:rsid w:val="17552344"/>
    <w:rsid w:val="17D5194F"/>
    <w:rsid w:val="17F27DB5"/>
    <w:rsid w:val="17FE34F4"/>
    <w:rsid w:val="181141F9"/>
    <w:rsid w:val="18C94AD3"/>
    <w:rsid w:val="19031D93"/>
    <w:rsid w:val="196B16E7"/>
    <w:rsid w:val="19D96F98"/>
    <w:rsid w:val="19EA6AAF"/>
    <w:rsid w:val="19FC25D9"/>
    <w:rsid w:val="1A8213DE"/>
    <w:rsid w:val="1A8E38DF"/>
    <w:rsid w:val="1B355C05"/>
    <w:rsid w:val="1B4D379A"/>
    <w:rsid w:val="1B5C54D9"/>
    <w:rsid w:val="1BCF376B"/>
    <w:rsid w:val="1BF260EF"/>
    <w:rsid w:val="1C281B33"/>
    <w:rsid w:val="1C50434B"/>
    <w:rsid w:val="1C896A53"/>
    <w:rsid w:val="1CE27F12"/>
    <w:rsid w:val="1CEB6DC6"/>
    <w:rsid w:val="1D044487"/>
    <w:rsid w:val="1D130CC1"/>
    <w:rsid w:val="1D57350A"/>
    <w:rsid w:val="1DAC0C4B"/>
    <w:rsid w:val="1DF71475"/>
    <w:rsid w:val="1E19135F"/>
    <w:rsid w:val="1E194461"/>
    <w:rsid w:val="1E7D0307"/>
    <w:rsid w:val="1EBA2EF4"/>
    <w:rsid w:val="1F3709E9"/>
    <w:rsid w:val="1F38206B"/>
    <w:rsid w:val="1FA91BAE"/>
    <w:rsid w:val="20085EE1"/>
    <w:rsid w:val="201C10B2"/>
    <w:rsid w:val="20C4005A"/>
    <w:rsid w:val="20CD2416"/>
    <w:rsid w:val="20EF0E4F"/>
    <w:rsid w:val="21582E98"/>
    <w:rsid w:val="219519F6"/>
    <w:rsid w:val="21D06ED2"/>
    <w:rsid w:val="21D3458C"/>
    <w:rsid w:val="21D544E9"/>
    <w:rsid w:val="21E47130"/>
    <w:rsid w:val="22286A32"/>
    <w:rsid w:val="2237485C"/>
    <w:rsid w:val="227E692E"/>
    <w:rsid w:val="22995063"/>
    <w:rsid w:val="22AE721D"/>
    <w:rsid w:val="22C407E5"/>
    <w:rsid w:val="22E36792"/>
    <w:rsid w:val="23272B22"/>
    <w:rsid w:val="23605838"/>
    <w:rsid w:val="23A10657"/>
    <w:rsid w:val="23CD4A35"/>
    <w:rsid w:val="23E26A49"/>
    <w:rsid w:val="23F7464E"/>
    <w:rsid w:val="25180974"/>
    <w:rsid w:val="25445C0D"/>
    <w:rsid w:val="25761B3F"/>
    <w:rsid w:val="259124D5"/>
    <w:rsid w:val="25B06295"/>
    <w:rsid w:val="25DF5936"/>
    <w:rsid w:val="25E62215"/>
    <w:rsid w:val="25E92311"/>
    <w:rsid w:val="265005E2"/>
    <w:rsid w:val="275245C2"/>
    <w:rsid w:val="276A24C1"/>
    <w:rsid w:val="27DD40F7"/>
    <w:rsid w:val="27F46C8A"/>
    <w:rsid w:val="28416434"/>
    <w:rsid w:val="28573CEA"/>
    <w:rsid w:val="2894468D"/>
    <w:rsid w:val="28EA087A"/>
    <w:rsid w:val="28EA0C44"/>
    <w:rsid w:val="292A6EC8"/>
    <w:rsid w:val="29DA6B40"/>
    <w:rsid w:val="29DF5F05"/>
    <w:rsid w:val="29EE439A"/>
    <w:rsid w:val="2A4144C9"/>
    <w:rsid w:val="2A44220C"/>
    <w:rsid w:val="2A9C7E6E"/>
    <w:rsid w:val="2AE03D95"/>
    <w:rsid w:val="2AE61515"/>
    <w:rsid w:val="2B285689"/>
    <w:rsid w:val="2B394168"/>
    <w:rsid w:val="2B4C581C"/>
    <w:rsid w:val="2BC55E66"/>
    <w:rsid w:val="2BE47802"/>
    <w:rsid w:val="2C014A43"/>
    <w:rsid w:val="2C5030EA"/>
    <w:rsid w:val="2C82701B"/>
    <w:rsid w:val="2CBA4A07"/>
    <w:rsid w:val="2D1656CF"/>
    <w:rsid w:val="2D175A28"/>
    <w:rsid w:val="2D19172E"/>
    <w:rsid w:val="2D6D1A79"/>
    <w:rsid w:val="2D937732"/>
    <w:rsid w:val="2DCC49F2"/>
    <w:rsid w:val="2E2412A7"/>
    <w:rsid w:val="2E2F7B75"/>
    <w:rsid w:val="2E6D4957"/>
    <w:rsid w:val="2F154177"/>
    <w:rsid w:val="2F212B1B"/>
    <w:rsid w:val="2F2F348A"/>
    <w:rsid w:val="2F3E191F"/>
    <w:rsid w:val="2F4607D4"/>
    <w:rsid w:val="2F780B73"/>
    <w:rsid w:val="2F9B467C"/>
    <w:rsid w:val="2FAC4ADB"/>
    <w:rsid w:val="2FCF07C9"/>
    <w:rsid w:val="2FD94828"/>
    <w:rsid w:val="2FE42670"/>
    <w:rsid w:val="2FF92DBF"/>
    <w:rsid w:val="303E1027"/>
    <w:rsid w:val="30B32C64"/>
    <w:rsid w:val="30FE3240"/>
    <w:rsid w:val="31175F84"/>
    <w:rsid w:val="315B4847"/>
    <w:rsid w:val="3175714F"/>
    <w:rsid w:val="31905D36"/>
    <w:rsid w:val="31B20116"/>
    <w:rsid w:val="321908CC"/>
    <w:rsid w:val="32650F71"/>
    <w:rsid w:val="330D3AE3"/>
    <w:rsid w:val="334943EF"/>
    <w:rsid w:val="33AF6948"/>
    <w:rsid w:val="33C85C5B"/>
    <w:rsid w:val="343926B5"/>
    <w:rsid w:val="34B41D3C"/>
    <w:rsid w:val="359C2EFC"/>
    <w:rsid w:val="35C46909"/>
    <w:rsid w:val="366B1A8C"/>
    <w:rsid w:val="37702892"/>
    <w:rsid w:val="379504F3"/>
    <w:rsid w:val="37F708BD"/>
    <w:rsid w:val="37FB65FF"/>
    <w:rsid w:val="384358B1"/>
    <w:rsid w:val="385D0BF9"/>
    <w:rsid w:val="38AD1D23"/>
    <w:rsid w:val="38CD161E"/>
    <w:rsid w:val="39082F88"/>
    <w:rsid w:val="394107EC"/>
    <w:rsid w:val="395B1F09"/>
    <w:rsid w:val="399F2317"/>
    <w:rsid w:val="39E135D3"/>
    <w:rsid w:val="39ED6500"/>
    <w:rsid w:val="39FA3DA9"/>
    <w:rsid w:val="3B372259"/>
    <w:rsid w:val="3B8763FC"/>
    <w:rsid w:val="3B9B4924"/>
    <w:rsid w:val="3CAB1C76"/>
    <w:rsid w:val="3CD340AA"/>
    <w:rsid w:val="3D006466"/>
    <w:rsid w:val="3D213769"/>
    <w:rsid w:val="3D324146"/>
    <w:rsid w:val="3D8361CF"/>
    <w:rsid w:val="3DDF1946"/>
    <w:rsid w:val="3DEB0196"/>
    <w:rsid w:val="3DF633C5"/>
    <w:rsid w:val="3E5720B6"/>
    <w:rsid w:val="3E5E2A3B"/>
    <w:rsid w:val="3F0A5C7E"/>
    <w:rsid w:val="3F1BD0D8"/>
    <w:rsid w:val="3F372080"/>
    <w:rsid w:val="3F397A0D"/>
    <w:rsid w:val="3F5829A7"/>
    <w:rsid w:val="3F5D6D3B"/>
    <w:rsid w:val="3F8E5FAB"/>
    <w:rsid w:val="3FC27A03"/>
    <w:rsid w:val="3FDC2791"/>
    <w:rsid w:val="40173D65"/>
    <w:rsid w:val="40606E51"/>
    <w:rsid w:val="408B7B57"/>
    <w:rsid w:val="40AB0497"/>
    <w:rsid w:val="40C15F0C"/>
    <w:rsid w:val="40CD733F"/>
    <w:rsid w:val="41306BEE"/>
    <w:rsid w:val="41410DFB"/>
    <w:rsid w:val="418559EE"/>
    <w:rsid w:val="41D852BC"/>
    <w:rsid w:val="41DA3519"/>
    <w:rsid w:val="41F1637D"/>
    <w:rsid w:val="41F30837"/>
    <w:rsid w:val="422229DB"/>
    <w:rsid w:val="422C5607"/>
    <w:rsid w:val="424B0183"/>
    <w:rsid w:val="428B728C"/>
    <w:rsid w:val="42924669"/>
    <w:rsid w:val="42A50813"/>
    <w:rsid w:val="42FF4ACA"/>
    <w:rsid w:val="4310611E"/>
    <w:rsid w:val="43302ED5"/>
    <w:rsid w:val="438356FB"/>
    <w:rsid w:val="43A15B81"/>
    <w:rsid w:val="43F959BD"/>
    <w:rsid w:val="442F4BA2"/>
    <w:rsid w:val="446C4E58"/>
    <w:rsid w:val="44766026"/>
    <w:rsid w:val="449B0A4F"/>
    <w:rsid w:val="44B26298"/>
    <w:rsid w:val="44CE0BF8"/>
    <w:rsid w:val="45041E7C"/>
    <w:rsid w:val="4541482F"/>
    <w:rsid w:val="457C4AF8"/>
    <w:rsid w:val="4597723C"/>
    <w:rsid w:val="45A656D1"/>
    <w:rsid w:val="45BC4EF4"/>
    <w:rsid w:val="45D70438"/>
    <w:rsid w:val="462211FB"/>
    <w:rsid w:val="46342CDD"/>
    <w:rsid w:val="46601D24"/>
    <w:rsid w:val="46951900"/>
    <w:rsid w:val="46D71FE6"/>
    <w:rsid w:val="46DA3884"/>
    <w:rsid w:val="47A679B6"/>
    <w:rsid w:val="47C00CCC"/>
    <w:rsid w:val="481C1E94"/>
    <w:rsid w:val="4882344D"/>
    <w:rsid w:val="4887114D"/>
    <w:rsid w:val="48A759E8"/>
    <w:rsid w:val="48C93BB0"/>
    <w:rsid w:val="491A2F31"/>
    <w:rsid w:val="49A32653"/>
    <w:rsid w:val="49DA3B9B"/>
    <w:rsid w:val="49F031CD"/>
    <w:rsid w:val="4A1B668D"/>
    <w:rsid w:val="4A253F1B"/>
    <w:rsid w:val="4A274B27"/>
    <w:rsid w:val="4A275032"/>
    <w:rsid w:val="4A7A7858"/>
    <w:rsid w:val="4A8B1F7E"/>
    <w:rsid w:val="4AE921DB"/>
    <w:rsid w:val="4B0A47E5"/>
    <w:rsid w:val="4B2839A5"/>
    <w:rsid w:val="4B5A4F93"/>
    <w:rsid w:val="4B7F18F5"/>
    <w:rsid w:val="4BB52B12"/>
    <w:rsid w:val="4BC171E5"/>
    <w:rsid w:val="4C027573"/>
    <w:rsid w:val="4C515898"/>
    <w:rsid w:val="4C87000A"/>
    <w:rsid w:val="4C8818E2"/>
    <w:rsid w:val="4CF909F2"/>
    <w:rsid w:val="4CFA2F20"/>
    <w:rsid w:val="4D265A75"/>
    <w:rsid w:val="4D376EF3"/>
    <w:rsid w:val="4D41465D"/>
    <w:rsid w:val="4E2B207B"/>
    <w:rsid w:val="4E5B34FC"/>
    <w:rsid w:val="4EB54126"/>
    <w:rsid w:val="4EE546F3"/>
    <w:rsid w:val="4EEE4370"/>
    <w:rsid w:val="4F0F22F9"/>
    <w:rsid w:val="4F820F5D"/>
    <w:rsid w:val="4F975776"/>
    <w:rsid w:val="4FC54A6F"/>
    <w:rsid w:val="502148AD"/>
    <w:rsid w:val="503C14CC"/>
    <w:rsid w:val="50724B2D"/>
    <w:rsid w:val="508362F4"/>
    <w:rsid w:val="50BF0E1B"/>
    <w:rsid w:val="50D92746"/>
    <w:rsid w:val="50DD469C"/>
    <w:rsid w:val="513B13C3"/>
    <w:rsid w:val="51726A5E"/>
    <w:rsid w:val="517B65F4"/>
    <w:rsid w:val="51A27694"/>
    <w:rsid w:val="51F7382A"/>
    <w:rsid w:val="520E0886"/>
    <w:rsid w:val="5261672F"/>
    <w:rsid w:val="526861E8"/>
    <w:rsid w:val="526F57C8"/>
    <w:rsid w:val="52830227"/>
    <w:rsid w:val="52A01E26"/>
    <w:rsid w:val="52B753C1"/>
    <w:rsid w:val="53034162"/>
    <w:rsid w:val="533857D3"/>
    <w:rsid w:val="535624E4"/>
    <w:rsid w:val="53F341D7"/>
    <w:rsid w:val="54286D42"/>
    <w:rsid w:val="54484523"/>
    <w:rsid w:val="54696247"/>
    <w:rsid w:val="5472334E"/>
    <w:rsid w:val="54E82C59"/>
    <w:rsid w:val="55081F04"/>
    <w:rsid w:val="55621614"/>
    <w:rsid w:val="55654C60"/>
    <w:rsid w:val="55AD03B6"/>
    <w:rsid w:val="55B30230"/>
    <w:rsid w:val="55C45E2B"/>
    <w:rsid w:val="561F3061"/>
    <w:rsid w:val="56270168"/>
    <w:rsid w:val="563A7E9B"/>
    <w:rsid w:val="566521F1"/>
    <w:rsid w:val="56876E58"/>
    <w:rsid w:val="56DC0F52"/>
    <w:rsid w:val="570B1838"/>
    <w:rsid w:val="57316401"/>
    <w:rsid w:val="57480C4D"/>
    <w:rsid w:val="575B456D"/>
    <w:rsid w:val="57720F07"/>
    <w:rsid w:val="57E36310"/>
    <w:rsid w:val="581D5CC6"/>
    <w:rsid w:val="583D1F2E"/>
    <w:rsid w:val="584B2834"/>
    <w:rsid w:val="58BD675C"/>
    <w:rsid w:val="58E56728"/>
    <w:rsid w:val="58FD3402"/>
    <w:rsid w:val="590A3EC5"/>
    <w:rsid w:val="5999137D"/>
    <w:rsid w:val="59A815C0"/>
    <w:rsid w:val="5A301901"/>
    <w:rsid w:val="5A3B0686"/>
    <w:rsid w:val="5A4E2167"/>
    <w:rsid w:val="5A7A73D5"/>
    <w:rsid w:val="5A9A4363"/>
    <w:rsid w:val="5AF56A87"/>
    <w:rsid w:val="5B3668FA"/>
    <w:rsid w:val="5B6503E5"/>
    <w:rsid w:val="5BD13050"/>
    <w:rsid w:val="5CA42512"/>
    <w:rsid w:val="5CC94125"/>
    <w:rsid w:val="5CD35738"/>
    <w:rsid w:val="5D010FF8"/>
    <w:rsid w:val="5D017965"/>
    <w:rsid w:val="5D4E0283"/>
    <w:rsid w:val="5DCF1811"/>
    <w:rsid w:val="5DED03E7"/>
    <w:rsid w:val="5DF43025"/>
    <w:rsid w:val="5DFA3490"/>
    <w:rsid w:val="5DFC1EDA"/>
    <w:rsid w:val="5E7B22D2"/>
    <w:rsid w:val="5E9C73CD"/>
    <w:rsid w:val="5EDF1F0C"/>
    <w:rsid w:val="5F5226F9"/>
    <w:rsid w:val="5F9307B0"/>
    <w:rsid w:val="5FBC21B9"/>
    <w:rsid w:val="5FFC08B7"/>
    <w:rsid w:val="60145C01"/>
    <w:rsid w:val="602816AC"/>
    <w:rsid w:val="602B36D0"/>
    <w:rsid w:val="60432042"/>
    <w:rsid w:val="606F72DB"/>
    <w:rsid w:val="60795A64"/>
    <w:rsid w:val="616D55C9"/>
    <w:rsid w:val="617C3A5E"/>
    <w:rsid w:val="618E6BF9"/>
    <w:rsid w:val="61B74A96"/>
    <w:rsid w:val="61C471B3"/>
    <w:rsid w:val="61D8307C"/>
    <w:rsid w:val="624A3B5C"/>
    <w:rsid w:val="625247BE"/>
    <w:rsid w:val="62774225"/>
    <w:rsid w:val="627821AA"/>
    <w:rsid w:val="628D3A49"/>
    <w:rsid w:val="62F60F39"/>
    <w:rsid w:val="6352472A"/>
    <w:rsid w:val="63DA0F0F"/>
    <w:rsid w:val="640D4E41"/>
    <w:rsid w:val="640F0BB9"/>
    <w:rsid w:val="642A53C6"/>
    <w:rsid w:val="64425F0B"/>
    <w:rsid w:val="64A2280B"/>
    <w:rsid w:val="64C33752"/>
    <w:rsid w:val="65053D6A"/>
    <w:rsid w:val="65285555"/>
    <w:rsid w:val="65483089"/>
    <w:rsid w:val="65510D5D"/>
    <w:rsid w:val="65E120E1"/>
    <w:rsid w:val="66904C2B"/>
    <w:rsid w:val="677D5C8C"/>
    <w:rsid w:val="678C42CF"/>
    <w:rsid w:val="68221AA0"/>
    <w:rsid w:val="68993147"/>
    <w:rsid w:val="69112FA3"/>
    <w:rsid w:val="696E6382"/>
    <w:rsid w:val="69DE1E3D"/>
    <w:rsid w:val="69F543AD"/>
    <w:rsid w:val="6A222CC8"/>
    <w:rsid w:val="6A3A6264"/>
    <w:rsid w:val="6A55522F"/>
    <w:rsid w:val="6A6034B6"/>
    <w:rsid w:val="6A822C19"/>
    <w:rsid w:val="6A9736B6"/>
    <w:rsid w:val="6AA54025"/>
    <w:rsid w:val="6ABC311D"/>
    <w:rsid w:val="6ADE7537"/>
    <w:rsid w:val="6B0E0712"/>
    <w:rsid w:val="6B19056F"/>
    <w:rsid w:val="6B8A6D77"/>
    <w:rsid w:val="6B920A95"/>
    <w:rsid w:val="6B9A5558"/>
    <w:rsid w:val="6BB404EA"/>
    <w:rsid w:val="6BBB2C58"/>
    <w:rsid w:val="6BF7CA57"/>
    <w:rsid w:val="6BFD1C3F"/>
    <w:rsid w:val="6BFFD3F1"/>
    <w:rsid w:val="6C895575"/>
    <w:rsid w:val="6CE636BA"/>
    <w:rsid w:val="6D82064E"/>
    <w:rsid w:val="6DE22A68"/>
    <w:rsid w:val="6DF85F0B"/>
    <w:rsid w:val="6E05302D"/>
    <w:rsid w:val="6E3631E6"/>
    <w:rsid w:val="6E872C3B"/>
    <w:rsid w:val="6E963C85"/>
    <w:rsid w:val="6EAE5472"/>
    <w:rsid w:val="6EC24A7A"/>
    <w:rsid w:val="6EC34D2F"/>
    <w:rsid w:val="6EE92007"/>
    <w:rsid w:val="6EF07185"/>
    <w:rsid w:val="6EF2535F"/>
    <w:rsid w:val="6F4C5FF2"/>
    <w:rsid w:val="6F98707B"/>
    <w:rsid w:val="6FE416D5"/>
    <w:rsid w:val="70076B11"/>
    <w:rsid w:val="705155F0"/>
    <w:rsid w:val="707B3132"/>
    <w:rsid w:val="708E10B8"/>
    <w:rsid w:val="70CB4833"/>
    <w:rsid w:val="70F3A910"/>
    <w:rsid w:val="711445FF"/>
    <w:rsid w:val="712650C0"/>
    <w:rsid w:val="717A163C"/>
    <w:rsid w:val="71D47469"/>
    <w:rsid w:val="71F72C8D"/>
    <w:rsid w:val="721F06C1"/>
    <w:rsid w:val="725264ED"/>
    <w:rsid w:val="727E3CA0"/>
    <w:rsid w:val="729556E2"/>
    <w:rsid w:val="729A27B4"/>
    <w:rsid w:val="72EE408F"/>
    <w:rsid w:val="72F37F5D"/>
    <w:rsid w:val="72F524E3"/>
    <w:rsid w:val="72FF44EF"/>
    <w:rsid w:val="7309711B"/>
    <w:rsid w:val="734E6645"/>
    <w:rsid w:val="73552361"/>
    <w:rsid w:val="735C724B"/>
    <w:rsid w:val="73766299"/>
    <w:rsid w:val="73870B0B"/>
    <w:rsid w:val="73924331"/>
    <w:rsid w:val="73B16150"/>
    <w:rsid w:val="73BA21C4"/>
    <w:rsid w:val="73BB3A8D"/>
    <w:rsid w:val="73BC23E0"/>
    <w:rsid w:val="73D26662"/>
    <w:rsid w:val="73EE04C2"/>
    <w:rsid w:val="746D7236"/>
    <w:rsid w:val="7486193A"/>
    <w:rsid w:val="74F53239"/>
    <w:rsid w:val="759E3B4B"/>
    <w:rsid w:val="75A0276E"/>
    <w:rsid w:val="75B710B1"/>
    <w:rsid w:val="75EF084A"/>
    <w:rsid w:val="76034E57"/>
    <w:rsid w:val="767B2602"/>
    <w:rsid w:val="768723E2"/>
    <w:rsid w:val="76B51C6A"/>
    <w:rsid w:val="77244D7B"/>
    <w:rsid w:val="776A77CD"/>
    <w:rsid w:val="783F62AD"/>
    <w:rsid w:val="78730464"/>
    <w:rsid w:val="78AC47D1"/>
    <w:rsid w:val="78D41C3A"/>
    <w:rsid w:val="7935138A"/>
    <w:rsid w:val="796C3F60"/>
    <w:rsid w:val="79CD2C51"/>
    <w:rsid w:val="7A3E58FC"/>
    <w:rsid w:val="7AD61FD9"/>
    <w:rsid w:val="7AD63D87"/>
    <w:rsid w:val="7B310FBD"/>
    <w:rsid w:val="7B3CB072"/>
    <w:rsid w:val="7B3D7962"/>
    <w:rsid w:val="7B5B1387"/>
    <w:rsid w:val="7B784E3E"/>
    <w:rsid w:val="7B7D659C"/>
    <w:rsid w:val="7B8017A3"/>
    <w:rsid w:val="7BBB4D2B"/>
    <w:rsid w:val="7C3F770A"/>
    <w:rsid w:val="7C596A1E"/>
    <w:rsid w:val="7C6453C2"/>
    <w:rsid w:val="7C6D071B"/>
    <w:rsid w:val="7CA35C3F"/>
    <w:rsid w:val="7CE03F04"/>
    <w:rsid w:val="7CF662AC"/>
    <w:rsid w:val="7D136827"/>
    <w:rsid w:val="7D52739A"/>
    <w:rsid w:val="7D741635"/>
    <w:rsid w:val="7D847ACA"/>
    <w:rsid w:val="7D91540F"/>
    <w:rsid w:val="7DF06E33"/>
    <w:rsid w:val="7E123328"/>
    <w:rsid w:val="7E1C5F55"/>
    <w:rsid w:val="7E3C05ED"/>
    <w:rsid w:val="7E435896"/>
    <w:rsid w:val="7EE527EB"/>
    <w:rsid w:val="7EF173E1"/>
    <w:rsid w:val="7F0345DB"/>
    <w:rsid w:val="7F463608"/>
    <w:rsid w:val="7F54171E"/>
    <w:rsid w:val="7F6D3C49"/>
    <w:rsid w:val="7F9F090D"/>
    <w:rsid w:val="7FA97CBC"/>
    <w:rsid w:val="7FD665D7"/>
    <w:rsid w:val="7FFE45DD"/>
    <w:rsid w:val="BE754542"/>
    <w:rsid w:val="F47DBA6F"/>
    <w:rsid w:val="F65409CC"/>
    <w:rsid w:val="FE1F6654"/>
    <w:rsid w:val="FFFF9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uiPriority="0" w:name="heading 4" w:locked="1"/>
    <w:lsdException w:uiPriority="0" w:name="heading 5" w:locked="1"/>
    <w:lsdException w:uiPriority="0" w:name="heading 6" w:locked="1"/>
    <w:lsdException w:uiPriority="0" w:name="heading 7" w:locked="1"/>
    <w:lsdException w:uiPriority="0" w:name="heading 8" w:locked="1"/>
    <w:lsdException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ocked="1"/>
    <w:lsdException w:uiPriority="0" w:name="toc 2" w:locked="1"/>
    <w:lsdException w:uiPriority="0" w:name="toc 3" w:locked="1"/>
    <w:lsdException w:uiPriority="0"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ocked="1"/>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locked/>
    <w:uiPriority w:val="0"/>
    <w:pPr>
      <w:keepNext/>
      <w:keepLines/>
      <w:spacing w:before="340" w:after="330" w:line="578" w:lineRule="auto"/>
      <w:outlineLvl w:val="0"/>
    </w:pPr>
    <w:rPr>
      <w:b/>
      <w:bCs/>
      <w:kern w:val="44"/>
      <w:sz w:val="44"/>
    </w:rPr>
  </w:style>
  <w:style w:type="paragraph" w:styleId="3">
    <w:name w:val="heading 2"/>
    <w:basedOn w:val="1"/>
    <w:next w:val="1"/>
    <w:qFormat/>
    <w:locked/>
    <w:uiPriority w:val="0"/>
    <w:pPr>
      <w:keepNext/>
      <w:keepLines/>
      <w:spacing w:before="260" w:after="260" w:line="415" w:lineRule="auto"/>
      <w:outlineLvl w:val="1"/>
    </w:pPr>
    <w:rPr>
      <w:rFonts w:ascii="Times New Roman" w:hAnsi="Times New Roman" w:eastAsia="黑体"/>
      <w:b/>
      <w:sz w:val="32"/>
    </w:rPr>
  </w:style>
  <w:style w:type="paragraph" w:styleId="4">
    <w:name w:val="heading 3"/>
    <w:basedOn w:val="1"/>
    <w:next w:val="1"/>
    <w:qFormat/>
    <w:locked/>
    <w:uiPriority w:val="0"/>
    <w:pPr>
      <w:keepNext/>
      <w:keepLines/>
      <w:spacing w:before="260" w:after="260" w:line="415" w:lineRule="auto"/>
      <w:outlineLvl w:val="2"/>
    </w:pPr>
    <w:rPr>
      <w:b/>
      <w:sz w:val="32"/>
    </w:rPr>
  </w:style>
  <w:style w:type="character" w:default="1" w:styleId="15">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spacing w:after="120"/>
      <w:ind w:left="420" w:leftChars="200"/>
    </w:pPr>
  </w:style>
  <w:style w:type="paragraph" w:styleId="7">
    <w:name w:val="Body Text Indent 2"/>
    <w:basedOn w:val="1"/>
    <w:next w:val="1"/>
    <w:qFormat/>
    <w:uiPriority w:val="0"/>
    <w:pPr>
      <w:spacing w:after="120" w:line="480" w:lineRule="auto"/>
      <w:ind w:left="200" w:leftChars="200"/>
    </w:pPr>
    <w:rPr>
      <w:rFonts w:ascii="Times New Roman" w:hAnsi="Times New Roman" w:cs="Times New Roman"/>
      <w:szCs w:val="24"/>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Subtitle"/>
    <w:next w:val="1"/>
    <w:qFormat/>
    <w:locked/>
    <w:uiPriority w:val="0"/>
    <w:pPr>
      <w:wordWrap w:val="0"/>
      <w:spacing w:after="60"/>
      <w:jc w:val="center"/>
    </w:pPr>
    <w:rPr>
      <w:rFonts w:ascii="宋体" w:hAnsi="宋体" w:eastAsia="宋体" w:cs="Times New Roman"/>
      <w:sz w:val="24"/>
      <w:lang w:val="en-US" w:eastAsia="zh-CN" w:bidi="ar-SA"/>
    </w:rPr>
  </w:style>
  <w:style w:type="paragraph" w:styleId="12">
    <w:name w:val="Normal (Web)"/>
    <w:basedOn w:val="1"/>
    <w:qFormat/>
    <w:uiPriority w:val="0"/>
    <w:pPr>
      <w:spacing w:before="100" w:beforeAutospacing="1" w:after="100" w:afterAutospacing="1"/>
    </w:pPr>
    <w:rPr>
      <w:rFonts w:ascii="宋体" w:hAnsi="Times New Roman" w:cs="Times New Roman"/>
      <w:sz w:val="24"/>
    </w:rPr>
  </w:style>
  <w:style w:type="paragraph" w:styleId="13">
    <w:name w:val="Body Text First Indent 2"/>
    <w:basedOn w:val="6"/>
    <w:qFormat/>
    <w:uiPriority w:val="0"/>
    <w:pPr>
      <w:ind w:firstLine="420" w:firstLineChars="200"/>
    </w:pPr>
    <w:rPr>
      <w:rFonts w:eastAsia="方正小标宋简体"/>
    </w:rPr>
  </w:style>
  <w:style w:type="character" w:styleId="16">
    <w:name w:val="Strong"/>
    <w:basedOn w:val="15"/>
    <w:qFormat/>
    <w:locked/>
    <w:uiPriority w:val="22"/>
    <w:rPr>
      <w:rFonts w:cs="Times New Roman"/>
      <w:b/>
    </w:rPr>
  </w:style>
  <w:style w:type="character" w:styleId="17">
    <w:name w:val="page number"/>
    <w:basedOn w:val="15"/>
    <w:qFormat/>
    <w:uiPriority w:val="0"/>
  </w:style>
  <w:style w:type="paragraph" w:customStyle="1" w:styleId="18">
    <w:name w:val="正文 A"/>
    <w:next w:val="1"/>
    <w:qFormat/>
    <w:uiPriority w:val="0"/>
    <w:pPr>
      <w:widowControl w:val="0"/>
      <w:suppressAutoHyphens/>
      <w:jc w:val="both"/>
    </w:pPr>
    <w:rPr>
      <w:rFonts w:ascii="Calibri" w:hAnsi="Calibri" w:eastAsia="Arial Unicode MS" w:cs="Arial Unicode MS"/>
      <w:color w:val="000000"/>
      <w:kern w:val="2"/>
      <w:sz w:val="21"/>
      <w:szCs w:val="21"/>
      <w:lang w:val="en-US" w:eastAsia="zh-CN" w:bidi="ar-SA"/>
    </w:rPr>
  </w:style>
  <w:style w:type="paragraph" w:customStyle="1" w:styleId="19">
    <w:name w:val="Char Char Char Char Char Char"/>
    <w:basedOn w:val="1"/>
    <w:qFormat/>
    <w:uiPriority w:val="0"/>
    <w:pPr>
      <w:widowControl/>
      <w:spacing w:after="160" w:line="240" w:lineRule="exact"/>
      <w:jc w:val="left"/>
    </w:pPr>
    <w:rPr>
      <w:rFonts w:ascii="Times New Roman" w:hAnsi="Times New Roman" w:eastAsia="仿宋_GB2312" w:cs="Times New Roman"/>
      <w:snapToGrid w:val="0"/>
      <w:sz w:val="32"/>
      <w:szCs w:val="32"/>
    </w:rPr>
  </w:style>
  <w:style w:type="paragraph" w:styleId="20">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20</Pages>
  <Words>9815</Words>
  <Characters>10491</Characters>
  <Lines>75</Lines>
  <Paragraphs>21</Paragraphs>
  <TotalTime>894</TotalTime>
  <ScaleCrop>false</ScaleCrop>
  <LinksUpToDate>false</LinksUpToDate>
  <CharactersWithSpaces>10499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2023-01-30T02:40:00Z</dcterms:created>
  <dc:creator>User</dc:creator>
  <cp:lastModifiedBy>孙爱民</cp:lastModifiedBy>
  <cp:lastPrinted>2025-01-05T14:27:00Z</cp:lastPrinted>
  <dcterms:modified xsi:type="dcterms:W3CDTF">2025-01-06T07:59:11Z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4030554C11D74EC4867B22E22B296B84_13</vt:lpwstr>
  </property>
  <property fmtid="{D5CDD505-2E9C-101B-9397-08002B2CF9AE}" pid="4" name="KSOTemplateDocerSaveRecord">
    <vt:lpwstr>eyJoZGlkIjoiMDYzODhjN2FiMWFhMmIyMjQ5YmY5OTIzOWRlOTdkYjQiLCJ1c2VySWQiOiIyMDk3NzA4MTgifQ==</vt:lpwstr>
  </property>
</Properties>
</file>