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2E5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w:t>
      </w:r>
    </w:p>
    <w:p w14:paraId="2AB777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pacing w:val="1"/>
          <w:sz w:val="44"/>
          <w:szCs w:val="44"/>
          <w:lang w:eastAsia="zh-CN"/>
        </w:rPr>
      </w:pPr>
      <w:r>
        <w:rPr>
          <w:rFonts w:hint="eastAsia" w:ascii="方正小标宋简体" w:hAnsi="方正小标宋简体" w:eastAsia="方正小标宋简体" w:cs="方正小标宋简体"/>
          <w:b w:val="0"/>
          <w:bCs w:val="0"/>
          <w:spacing w:val="1"/>
          <w:sz w:val="44"/>
          <w:szCs w:val="44"/>
          <w:lang w:val="en-US" w:eastAsia="zh-CN"/>
        </w:rPr>
        <w:t>肃南县统计局</w:t>
      </w:r>
      <w:r>
        <w:rPr>
          <w:rFonts w:hint="eastAsia" w:ascii="方正小标宋简体" w:hAnsi="方正小标宋简体" w:eastAsia="方正小标宋简体" w:cs="方正小标宋简体"/>
          <w:b w:val="0"/>
          <w:bCs w:val="0"/>
          <w:spacing w:val="1"/>
          <w:sz w:val="44"/>
          <w:szCs w:val="44"/>
        </w:rPr>
        <w:t>行政执法事项目录清单</w:t>
      </w:r>
      <w:r>
        <w:rPr>
          <w:rFonts w:hint="eastAsia" w:ascii="方正小标宋简体" w:hAnsi="方正小标宋简体" w:eastAsia="方正小标宋简体" w:cs="方正小标宋简体"/>
          <w:b w:val="0"/>
          <w:bCs w:val="0"/>
          <w:spacing w:val="1"/>
          <w:sz w:val="44"/>
          <w:szCs w:val="44"/>
          <w:lang w:eastAsia="zh-CN"/>
        </w:rPr>
        <w:t>（</w:t>
      </w:r>
      <w:r>
        <w:rPr>
          <w:rFonts w:hint="eastAsia" w:ascii="方正小标宋简体" w:hAnsi="方正小标宋简体" w:eastAsia="方正小标宋简体" w:cs="方正小标宋简体"/>
          <w:b w:val="0"/>
          <w:bCs w:val="0"/>
          <w:spacing w:val="1"/>
          <w:sz w:val="44"/>
          <w:szCs w:val="44"/>
          <w:lang w:val="en-US" w:eastAsia="zh-CN"/>
        </w:rPr>
        <w:t>行政处罚</w:t>
      </w:r>
      <w:r>
        <w:rPr>
          <w:rFonts w:hint="eastAsia" w:ascii="方正小标宋简体" w:hAnsi="方正小标宋简体" w:eastAsia="方正小标宋简体" w:cs="方正小标宋简体"/>
          <w:b w:val="0"/>
          <w:bCs w:val="0"/>
          <w:spacing w:val="1"/>
          <w:sz w:val="44"/>
          <w:szCs w:val="44"/>
          <w:lang w:eastAsia="zh-CN"/>
        </w:rPr>
        <w:t>）</w:t>
      </w:r>
    </w:p>
    <w:tbl>
      <w:tblPr>
        <w:tblStyle w:val="5"/>
        <w:tblW w:w="139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2284"/>
        <w:gridCol w:w="855"/>
        <w:gridCol w:w="1110"/>
        <w:gridCol w:w="1065"/>
        <w:gridCol w:w="690"/>
        <w:gridCol w:w="5305"/>
        <w:gridCol w:w="425"/>
        <w:gridCol w:w="495"/>
        <w:gridCol w:w="435"/>
        <w:gridCol w:w="450"/>
        <w:gridCol w:w="360"/>
      </w:tblGrid>
      <w:tr w14:paraId="5D5EA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53" w:type="dxa"/>
            <w:vMerge w:val="restart"/>
            <w:noWrap w:val="0"/>
            <w:vAlign w:val="center"/>
          </w:tcPr>
          <w:p w14:paraId="75CDC20F">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黑体" w:hAnsi="黑体" w:eastAsia="黑体" w:cs="黑体"/>
                <w:kern w:val="2"/>
                <w:sz w:val="20"/>
                <w:szCs w:val="20"/>
                <w:lang w:val="en-US" w:eastAsia="zh-CN" w:bidi="ar-SA"/>
              </w:rPr>
            </w:pPr>
            <w:r>
              <w:rPr>
                <w:rFonts w:hint="eastAsia" w:ascii="黑体" w:hAnsi="黑体" w:eastAsia="黑体" w:cs="黑体"/>
                <w:spacing w:val="-2"/>
                <w:sz w:val="20"/>
                <w:szCs w:val="20"/>
              </w:rPr>
              <w:t>序号</w:t>
            </w:r>
          </w:p>
        </w:tc>
        <w:tc>
          <w:tcPr>
            <w:tcW w:w="2284" w:type="dxa"/>
            <w:vMerge w:val="restart"/>
            <w:noWrap w:val="0"/>
            <w:vAlign w:val="center"/>
          </w:tcPr>
          <w:p w14:paraId="6684D39E">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黑体" w:hAnsi="黑体" w:eastAsia="黑体" w:cs="黑体"/>
                <w:kern w:val="2"/>
                <w:sz w:val="20"/>
                <w:szCs w:val="20"/>
                <w:lang w:val="en-US" w:eastAsia="zh-CN" w:bidi="ar-SA"/>
              </w:rPr>
            </w:pPr>
            <w:r>
              <w:rPr>
                <w:rFonts w:hint="eastAsia" w:ascii="黑体" w:hAnsi="黑体" w:eastAsia="黑体" w:cs="黑体"/>
                <w:spacing w:val="-1"/>
                <w:sz w:val="20"/>
                <w:szCs w:val="20"/>
              </w:rPr>
              <w:t>执法事项名称</w:t>
            </w:r>
          </w:p>
        </w:tc>
        <w:tc>
          <w:tcPr>
            <w:tcW w:w="855" w:type="dxa"/>
            <w:vMerge w:val="restart"/>
            <w:noWrap w:val="0"/>
            <w:vAlign w:val="center"/>
          </w:tcPr>
          <w:p w14:paraId="501F1D08">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黑体" w:hAnsi="黑体" w:eastAsia="黑体" w:cs="黑体"/>
                <w:kern w:val="2"/>
                <w:sz w:val="20"/>
                <w:szCs w:val="20"/>
                <w:lang w:val="en-US" w:eastAsia="zh-CN" w:bidi="ar-SA"/>
              </w:rPr>
            </w:pPr>
            <w:r>
              <w:rPr>
                <w:rFonts w:hint="eastAsia" w:ascii="黑体" w:hAnsi="黑体" w:eastAsia="黑体" w:cs="黑体"/>
                <w:spacing w:val="-1"/>
                <w:sz w:val="20"/>
                <w:szCs w:val="20"/>
              </w:rPr>
              <w:t>执法事项类型</w:t>
            </w:r>
          </w:p>
        </w:tc>
        <w:tc>
          <w:tcPr>
            <w:tcW w:w="1110" w:type="dxa"/>
            <w:vMerge w:val="restart"/>
            <w:noWrap w:val="0"/>
            <w:vAlign w:val="center"/>
          </w:tcPr>
          <w:p w14:paraId="7546F881">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黑体" w:hAnsi="黑体" w:eastAsia="黑体" w:cs="黑体"/>
                <w:kern w:val="2"/>
                <w:sz w:val="20"/>
                <w:szCs w:val="20"/>
                <w:lang w:val="en-US" w:eastAsia="zh-CN" w:bidi="ar-SA"/>
              </w:rPr>
            </w:pPr>
            <w:r>
              <w:rPr>
                <w:rFonts w:hint="eastAsia" w:ascii="黑体" w:hAnsi="黑体" w:eastAsia="黑体" w:cs="黑体"/>
                <w:spacing w:val="5"/>
                <w:sz w:val="20"/>
                <w:szCs w:val="20"/>
              </w:rPr>
              <w:t>执法部门</w:t>
            </w:r>
          </w:p>
        </w:tc>
        <w:tc>
          <w:tcPr>
            <w:tcW w:w="1065" w:type="dxa"/>
            <w:vMerge w:val="restart"/>
            <w:noWrap w:val="0"/>
            <w:vAlign w:val="center"/>
          </w:tcPr>
          <w:p w14:paraId="2C715DFC">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黑体" w:hAnsi="黑体" w:eastAsia="黑体" w:cs="黑体"/>
                <w:kern w:val="2"/>
                <w:sz w:val="20"/>
                <w:szCs w:val="20"/>
                <w:lang w:val="en-US" w:eastAsia="zh-CN" w:bidi="ar-SA"/>
              </w:rPr>
            </w:pPr>
            <w:r>
              <w:rPr>
                <w:rFonts w:hint="eastAsia" w:ascii="黑体" w:hAnsi="黑体" w:eastAsia="黑体" w:cs="黑体"/>
                <w:spacing w:val="-2"/>
                <w:sz w:val="20"/>
                <w:szCs w:val="20"/>
              </w:rPr>
              <w:t>执法领域</w:t>
            </w:r>
          </w:p>
        </w:tc>
        <w:tc>
          <w:tcPr>
            <w:tcW w:w="690" w:type="dxa"/>
            <w:vMerge w:val="restart"/>
            <w:noWrap w:val="0"/>
            <w:vAlign w:val="center"/>
          </w:tcPr>
          <w:p w14:paraId="7137D063">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pacing w:val="2"/>
                <w:sz w:val="20"/>
                <w:szCs w:val="20"/>
              </w:rPr>
            </w:pPr>
            <w:r>
              <w:rPr>
                <w:rFonts w:hint="eastAsia" w:ascii="黑体" w:hAnsi="黑体" w:eastAsia="黑体" w:cs="黑体"/>
                <w:spacing w:val="2"/>
                <w:sz w:val="20"/>
                <w:szCs w:val="20"/>
              </w:rPr>
              <w:t>实施</w:t>
            </w:r>
          </w:p>
          <w:p w14:paraId="0EFADAFF">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黑体" w:hAnsi="黑体" w:eastAsia="黑体" w:cs="黑体"/>
                <w:kern w:val="2"/>
                <w:sz w:val="20"/>
                <w:szCs w:val="20"/>
                <w:lang w:val="en-US" w:eastAsia="zh-CN" w:bidi="ar-SA"/>
              </w:rPr>
            </w:pPr>
            <w:r>
              <w:rPr>
                <w:rFonts w:hint="eastAsia" w:ascii="黑体" w:hAnsi="黑体" w:eastAsia="黑体" w:cs="黑体"/>
                <w:spacing w:val="2"/>
                <w:sz w:val="20"/>
                <w:szCs w:val="20"/>
              </w:rPr>
              <w:t>层级</w:t>
            </w:r>
          </w:p>
        </w:tc>
        <w:tc>
          <w:tcPr>
            <w:tcW w:w="7110" w:type="dxa"/>
            <w:gridSpan w:val="5"/>
            <w:noWrap w:val="0"/>
            <w:vAlign w:val="center"/>
          </w:tcPr>
          <w:p w14:paraId="57EA2A6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2"/>
                <w:sz w:val="20"/>
                <w:szCs w:val="20"/>
              </w:rPr>
              <w:t>执法依据</w:t>
            </w:r>
          </w:p>
        </w:tc>
        <w:tc>
          <w:tcPr>
            <w:tcW w:w="360" w:type="dxa"/>
            <w:vMerge w:val="restart"/>
            <w:noWrap w:val="0"/>
            <w:vAlign w:val="center"/>
          </w:tcPr>
          <w:p w14:paraId="5E21D93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3"/>
                <w:sz w:val="20"/>
                <w:szCs w:val="20"/>
              </w:rPr>
              <w:t>备注</w:t>
            </w:r>
          </w:p>
        </w:tc>
      </w:tr>
      <w:tr w14:paraId="69BC1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3" w:type="dxa"/>
            <w:vMerge w:val="continue"/>
            <w:noWrap w:val="0"/>
            <w:vAlign w:val="center"/>
          </w:tcPr>
          <w:p w14:paraId="6DDF4E5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c>
          <w:tcPr>
            <w:tcW w:w="2284" w:type="dxa"/>
            <w:vMerge w:val="continue"/>
            <w:noWrap w:val="0"/>
            <w:vAlign w:val="center"/>
          </w:tcPr>
          <w:p w14:paraId="4822F9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c>
          <w:tcPr>
            <w:tcW w:w="855" w:type="dxa"/>
            <w:vMerge w:val="continue"/>
            <w:noWrap w:val="0"/>
            <w:vAlign w:val="center"/>
          </w:tcPr>
          <w:p w14:paraId="62DEB90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c>
          <w:tcPr>
            <w:tcW w:w="1110" w:type="dxa"/>
            <w:vMerge w:val="continue"/>
            <w:noWrap w:val="0"/>
            <w:vAlign w:val="center"/>
          </w:tcPr>
          <w:p w14:paraId="2D70C6F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c>
          <w:tcPr>
            <w:tcW w:w="1065" w:type="dxa"/>
            <w:vMerge w:val="continue"/>
            <w:noWrap w:val="0"/>
            <w:vAlign w:val="center"/>
          </w:tcPr>
          <w:p w14:paraId="29C7A07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c>
          <w:tcPr>
            <w:tcW w:w="690" w:type="dxa"/>
            <w:vMerge w:val="continue"/>
            <w:noWrap w:val="0"/>
            <w:vAlign w:val="center"/>
          </w:tcPr>
          <w:p w14:paraId="50112E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c>
          <w:tcPr>
            <w:tcW w:w="5305" w:type="dxa"/>
            <w:noWrap w:val="0"/>
            <w:vAlign w:val="center"/>
          </w:tcPr>
          <w:p w14:paraId="010F700B">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2"/>
                <w:sz w:val="20"/>
                <w:szCs w:val="20"/>
              </w:rPr>
              <w:t>法律</w:t>
            </w:r>
          </w:p>
        </w:tc>
        <w:tc>
          <w:tcPr>
            <w:tcW w:w="425" w:type="dxa"/>
            <w:noWrap w:val="0"/>
            <w:vAlign w:val="center"/>
          </w:tcPr>
          <w:p w14:paraId="002F3C36">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pacing w:val="-2"/>
                <w:sz w:val="20"/>
                <w:szCs w:val="20"/>
              </w:rPr>
            </w:pPr>
            <w:r>
              <w:rPr>
                <w:rFonts w:hint="eastAsia" w:ascii="黑体" w:hAnsi="黑体" w:eastAsia="黑体" w:cs="黑体"/>
                <w:spacing w:val="-2"/>
                <w:sz w:val="20"/>
                <w:szCs w:val="20"/>
              </w:rPr>
              <w:t>行政</w:t>
            </w:r>
          </w:p>
          <w:p w14:paraId="65279EEE">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2"/>
                <w:sz w:val="20"/>
                <w:szCs w:val="20"/>
              </w:rPr>
              <w:t>法规</w:t>
            </w:r>
          </w:p>
        </w:tc>
        <w:tc>
          <w:tcPr>
            <w:tcW w:w="495" w:type="dxa"/>
            <w:noWrap w:val="0"/>
            <w:vAlign w:val="center"/>
          </w:tcPr>
          <w:p w14:paraId="05AB24D7">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pacing w:val="-2"/>
                <w:sz w:val="20"/>
                <w:szCs w:val="20"/>
              </w:rPr>
            </w:pPr>
            <w:r>
              <w:rPr>
                <w:rFonts w:hint="eastAsia" w:ascii="黑体" w:hAnsi="黑体" w:eastAsia="黑体" w:cs="黑体"/>
                <w:spacing w:val="-2"/>
                <w:sz w:val="20"/>
                <w:szCs w:val="20"/>
              </w:rPr>
              <w:t>地方性</w:t>
            </w:r>
          </w:p>
          <w:p w14:paraId="06A76B88">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2"/>
                <w:sz w:val="20"/>
                <w:szCs w:val="20"/>
              </w:rPr>
              <w:t>法规</w:t>
            </w:r>
          </w:p>
        </w:tc>
        <w:tc>
          <w:tcPr>
            <w:tcW w:w="435" w:type="dxa"/>
            <w:noWrap w:val="0"/>
            <w:vAlign w:val="center"/>
          </w:tcPr>
          <w:p w14:paraId="620DD80C">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pacing w:val="3"/>
                <w:sz w:val="20"/>
                <w:szCs w:val="20"/>
              </w:rPr>
            </w:pPr>
            <w:r>
              <w:rPr>
                <w:rFonts w:hint="eastAsia" w:ascii="黑体" w:hAnsi="黑体" w:eastAsia="黑体" w:cs="黑体"/>
                <w:spacing w:val="3"/>
                <w:sz w:val="20"/>
                <w:szCs w:val="20"/>
              </w:rPr>
              <w:t>部门</w:t>
            </w:r>
          </w:p>
          <w:p w14:paraId="5A352293">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3"/>
                <w:sz w:val="20"/>
                <w:szCs w:val="20"/>
              </w:rPr>
              <w:t>规章</w:t>
            </w:r>
          </w:p>
        </w:tc>
        <w:tc>
          <w:tcPr>
            <w:tcW w:w="450" w:type="dxa"/>
            <w:noWrap w:val="0"/>
            <w:vAlign w:val="center"/>
          </w:tcPr>
          <w:p w14:paraId="03046D74">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pacing w:val="-2"/>
                <w:sz w:val="20"/>
                <w:szCs w:val="20"/>
              </w:rPr>
            </w:pPr>
            <w:r>
              <w:rPr>
                <w:rFonts w:hint="eastAsia" w:ascii="黑体" w:hAnsi="黑体" w:eastAsia="黑体" w:cs="黑体"/>
                <w:spacing w:val="-2"/>
                <w:sz w:val="20"/>
                <w:szCs w:val="20"/>
              </w:rPr>
              <w:t>政府</w:t>
            </w:r>
          </w:p>
          <w:p w14:paraId="6E44062A">
            <w:pPr>
              <w:pStyle w:val="7"/>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20"/>
                <w:szCs w:val="20"/>
                <w:vertAlign w:val="baseline"/>
                <w:lang w:val="en-US" w:eastAsia="zh-CN"/>
              </w:rPr>
            </w:pPr>
            <w:r>
              <w:rPr>
                <w:rFonts w:hint="eastAsia" w:ascii="黑体" w:hAnsi="黑体" w:eastAsia="黑体" w:cs="黑体"/>
                <w:spacing w:val="-2"/>
                <w:sz w:val="20"/>
                <w:szCs w:val="20"/>
              </w:rPr>
              <w:t>规章</w:t>
            </w:r>
          </w:p>
        </w:tc>
        <w:tc>
          <w:tcPr>
            <w:tcW w:w="360" w:type="dxa"/>
            <w:vMerge w:val="continue"/>
            <w:noWrap w:val="0"/>
            <w:vAlign w:val="center"/>
          </w:tcPr>
          <w:p w14:paraId="2466710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方正小标宋简体" w:hAnsi="方正小标宋简体" w:eastAsia="方正小标宋简体" w:cs="方正小标宋简体"/>
                <w:b w:val="0"/>
                <w:bCs w:val="0"/>
                <w:spacing w:val="1"/>
                <w:sz w:val="44"/>
                <w:szCs w:val="44"/>
                <w:vertAlign w:val="baseline"/>
                <w:lang w:val="en-US" w:eastAsia="zh-CN"/>
              </w:rPr>
            </w:pPr>
          </w:p>
        </w:tc>
      </w:tr>
      <w:tr w14:paraId="689E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453" w:type="dxa"/>
            <w:noWrap w:val="0"/>
            <w:vAlign w:val="center"/>
          </w:tcPr>
          <w:p w14:paraId="035A56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15"/>
                <w:szCs w:val="15"/>
                <w:vertAlign w:val="baseline"/>
                <w:lang w:val="en-US" w:eastAsia="zh-CN"/>
              </w:rPr>
              <w:t>1</w:t>
            </w:r>
          </w:p>
        </w:tc>
        <w:tc>
          <w:tcPr>
            <w:tcW w:w="2284" w:type="dxa"/>
            <w:noWrap w:val="0"/>
            <w:vAlign w:val="center"/>
          </w:tcPr>
          <w:p w14:paraId="7CD774E1">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对作为统计调查对象的国家机关、企业事业单位或者其他组织、个体工商户拒绝提供统计资料或者经催报后仍未按时提供统计资料的；提供不真实或者不完整的统计资料的；拒绝答复或者不如实答复统计检查查询书的；拒绝、阻碍统计调查、统计检查的；转移、隐匿、篡改、毁弃或者拒绝提供原始记录和凭证、统计台账、统计调查表及其他相关证明和资料的处罚</w:t>
            </w:r>
          </w:p>
        </w:tc>
        <w:tc>
          <w:tcPr>
            <w:tcW w:w="855" w:type="dxa"/>
            <w:noWrap w:val="0"/>
            <w:vAlign w:val="center"/>
          </w:tcPr>
          <w:p w14:paraId="5F2BB6A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行政处罚</w:t>
            </w:r>
          </w:p>
        </w:tc>
        <w:tc>
          <w:tcPr>
            <w:tcW w:w="1110" w:type="dxa"/>
            <w:noWrap w:val="0"/>
            <w:vAlign w:val="center"/>
          </w:tcPr>
          <w:p w14:paraId="3AD5CF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肃南裕固族自治县统计局</w:t>
            </w:r>
          </w:p>
        </w:tc>
        <w:tc>
          <w:tcPr>
            <w:tcW w:w="1065" w:type="dxa"/>
            <w:noWrap w:val="0"/>
            <w:vAlign w:val="center"/>
          </w:tcPr>
          <w:p w14:paraId="1DBBF56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w:t>
            </w:r>
          </w:p>
        </w:tc>
        <w:tc>
          <w:tcPr>
            <w:tcW w:w="690" w:type="dxa"/>
            <w:noWrap w:val="0"/>
            <w:vAlign w:val="center"/>
          </w:tcPr>
          <w:p w14:paraId="6E7ED0D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cs="宋体"/>
                <w:b w:val="0"/>
                <w:bCs w:val="0"/>
                <w:spacing w:val="1"/>
                <w:sz w:val="21"/>
                <w:szCs w:val="21"/>
                <w:vertAlign w:val="baseline"/>
                <w:lang w:val="en-US" w:eastAsia="zh-CN"/>
              </w:rPr>
              <w:t>县级</w:t>
            </w:r>
          </w:p>
        </w:tc>
        <w:tc>
          <w:tcPr>
            <w:tcW w:w="5305" w:type="dxa"/>
            <w:noWrap w:val="0"/>
            <w:vAlign w:val="center"/>
          </w:tcPr>
          <w:p w14:paraId="5663DAF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《中华人民共和国统计法》 主席令第15号 2010年1月1日</w:t>
            </w:r>
          </w:p>
          <w:p w14:paraId="43A742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第三十三条  县级以上地方人民政府统计机构依法查处本行政区域内发生的统计违法行为。</w:t>
            </w:r>
          </w:p>
          <w:p w14:paraId="3D905BB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第四十一条  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14:paraId="686816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（一）拒绝提供统计资料或者经催报后仍未按时提供统计资料的；</w:t>
            </w:r>
          </w:p>
          <w:p w14:paraId="2C3545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（二）提供不真实或者不完整的统计资料的；</w:t>
            </w:r>
          </w:p>
          <w:p w14:paraId="1363E67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（三）拒绝答复或者不如实答复统计检查查询书的；</w:t>
            </w:r>
          </w:p>
          <w:p w14:paraId="665E944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（四）拒绝、阻碍统计调查、统计检查的；</w:t>
            </w:r>
          </w:p>
          <w:p w14:paraId="1ED665C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（五）转移、隐匿、篡改、毁弃或者拒绝提供原始记录和凭证、统计台账、统计调查表及其他相关证明和资料的。</w:t>
            </w:r>
          </w:p>
          <w:p w14:paraId="44650C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企业事业单位或者其他组织有前款所列行为之一的，可以并处五万元以下的罚款；情节严重的，并处五万元以上二十万元以下的罚款。个体工商户有本条第一款所列行为之一的，由县级以上人民政府统计机构责令改正，给予警告，可以并处一万元以下的罚款。 </w:t>
            </w:r>
          </w:p>
        </w:tc>
        <w:tc>
          <w:tcPr>
            <w:tcW w:w="425" w:type="dxa"/>
            <w:noWrap w:val="0"/>
            <w:vAlign w:val="center"/>
          </w:tcPr>
          <w:p w14:paraId="21F3650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p>
        </w:tc>
        <w:tc>
          <w:tcPr>
            <w:tcW w:w="495" w:type="dxa"/>
            <w:noWrap w:val="0"/>
            <w:vAlign w:val="center"/>
          </w:tcPr>
          <w:p w14:paraId="089EA2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p>
        </w:tc>
        <w:tc>
          <w:tcPr>
            <w:tcW w:w="435" w:type="dxa"/>
            <w:noWrap w:val="0"/>
            <w:vAlign w:val="center"/>
          </w:tcPr>
          <w:p w14:paraId="25D841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p>
        </w:tc>
        <w:tc>
          <w:tcPr>
            <w:tcW w:w="450" w:type="dxa"/>
            <w:noWrap w:val="0"/>
            <w:vAlign w:val="center"/>
          </w:tcPr>
          <w:p w14:paraId="65233F6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p>
        </w:tc>
        <w:tc>
          <w:tcPr>
            <w:tcW w:w="360" w:type="dxa"/>
            <w:noWrap w:val="0"/>
            <w:vAlign w:val="center"/>
          </w:tcPr>
          <w:p w14:paraId="4C4C3A8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pacing w:val="1"/>
                <w:sz w:val="15"/>
                <w:szCs w:val="15"/>
                <w:vertAlign w:val="baseline"/>
                <w:lang w:val="en-US" w:eastAsia="zh-CN"/>
              </w:rPr>
            </w:pPr>
          </w:p>
        </w:tc>
      </w:tr>
      <w:tr w14:paraId="7A2EE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0" w:hRule="atLeast"/>
        </w:trPr>
        <w:tc>
          <w:tcPr>
            <w:tcW w:w="453" w:type="dxa"/>
            <w:noWrap w:val="0"/>
            <w:vAlign w:val="center"/>
          </w:tcPr>
          <w:p w14:paraId="17714A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15"/>
                <w:szCs w:val="15"/>
                <w:vertAlign w:val="baseline"/>
                <w:lang w:val="en-US" w:eastAsia="zh-CN"/>
              </w:rPr>
              <w:t>2</w:t>
            </w:r>
          </w:p>
        </w:tc>
        <w:tc>
          <w:tcPr>
            <w:tcW w:w="2284" w:type="dxa"/>
            <w:noWrap w:val="0"/>
            <w:vAlign w:val="center"/>
          </w:tcPr>
          <w:p w14:paraId="30A75AE8">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对作为统计调查对象的国家机关、企业事业单位或者其他组织迟报统计资料，或者未按照国家有关规定设置原始记录、统计台账的，个体工商户迟报统计资料的处罚</w:t>
            </w:r>
          </w:p>
        </w:tc>
        <w:tc>
          <w:tcPr>
            <w:tcW w:w="855" w:type="dxa"/>
            <w:noWrap w:val="0"/>
            <w:vAlign w:val="center"/>
          </w:tcPr>
          <w:p w14:paraId="161E88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行政处罚</w:t>
            </w:r>
          </w:p>
        </w:tc>
        <w:tc>
          <w:tcPr>
            <w:tcW w:w="1110" w:type="dxa"/>
            <w:noWrap w:val="0"/>
            <w:vAlign w:val="center"/>
          </w:tcPr>
          <w:p w14:paraId="6ABFE9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肃南裕固族自治县统计局</w:t>
            </w:r>
          </w:p>
        </w:tc>
        <w:tc>
          <w:tcPr>
            <w:tcW w:w="1065" w:type="dxa"/>
            <w:noWrap w:val="0"/>
            <w:vAlign w:val="center"/>
          </w:tcPr>
          <w:p w14:paraId="05F7CAA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w:t>
            </w:r>
          </w:p>
        </w:tc>
        <w:tc>
          <w:tcPr>
            <w:tcW w:w="690" w:type="dxa"/>
            <w:noWrap w:val="0"/>
            <w:vAlign w:val="center"/>
          </w:tcPr>
          <w:p w14:paraId="170D74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cs="宋体"/>
                <w:b w:val="0"/>
                <w:bCs w:val="0"/>
                <w:spacing w:val="1"/>
                <w:sz w:val="21"/>
                <w:szCs w:val="21"/>
                <w:vertAlign w:val="baseline"/>
                <w:lang w:val="en-US" w:eastAsia="zh-CN"/>
              </w:rPr>
              <w:t>县级</w:t>
            </w:r>
          </w:p>
        </w:tc>
        <w:tc>
          <w:tcPr>
            <w:tcW w:w="5305" w:type="dxa"/>
            <w:noWrap w:val="0"/>
            <w:vAlign w:val="center"/>
          </w:tcPr>
          <w:p w14:paraId="197C6B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《统计调查证管理办法》 国家统计局令第11号 2007年12月1日</w:t>
            </w:r>
          </w:p>
          <w:p w14:paraId="647986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第十二条　任何单位违反本办法规定，伪造、变造或者冒用统计调查证的，由县级以上地方各级人民政府统计机构或者国家统计局派出的调查队责令改正，予以警告。</w:t>
            </w:r>
          </w:p>
          <w:p w14:paraId="7EDF9CE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对非经营活动中发生前款违法行为的，还可处以1000元以下的罚款。</w:t>
            </w:r>
          </w:p>
          <w:p w14:paraId="593BDBB1">
            <w:pPr>
              <w:keepNext w:val="0"/>
              <w:keepLines w:val="0"/>
              <w:pageBreakBefore w:val="0"/>
              <w:widowControl w:val="0"/>
              <w:kinsoku/>
              <w:wordWrap/>
              <w:overflowPunct/>
              <w:topLinePunct w:val="0"/>
              <w:autoSpaceDE/>
              <w:autoSpaceDN/>
              <w:bidi w:val="0"/>
              <w:adjustRightInd/>
              <w:snapToGrid/>
              <w:spacing w:line="240" w:lineRule="exact"/>
              <w:ind w:firstLine="428"/>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对经营活动中发生前款违法行为，有违法所得的，还可处以违法所得一至三倍但不超过30000元的罚款；没有违法所得的，还可处以10000元以下的罚款。</w:t>
            </w:r>
          </w:p>
        </w:tc>
        <w:tc>
          <w:tcPr>
            <w:tcW w:w="425" w:type="dxa"/>
            <w:noWrap w:val="0"/>
            <w:vAlign w:val="center"/>
          </w:tcPr>
          <w:p w14:paraId="4668178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p>
        </w:tc>
        <w:tc>
          <w:tcPr>
            <w:tcW w:w="495" w:type="dxa"/>
            <w:noWrap w:val="0"/>
            <w:vAlign w:val="center"/>
          </w:tcPr>
          <w:p w14:paraId="16FBD87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p>
        </w:tc>
        <w:tc>
          <w:tcPr>
            <w:tcW w:w="435" w:type="dxa"/>
            <w:noWrap w:val="0"/>
            <w:vAlign w:val="center"/>
          </w:tcPr>
          <w:p w14:paraId="027C5D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cs="宋体"/>
                <w:b w:val="0"/>
                <w:bCs w:val="0"/>
                <w:spacing w:val="1"/>
                <w:sz w:val="21"/>
                <w:szCs w:val="21"/>
                <w:vertAlign w:val="baseline"/>
                <w:lang w:val="en-US" w:eastAsia="zh-CN"/>
              </w:rPr>
              <w:t>统计行政规章</w:t>
            </w:r>
          </w:p>
        </w:tc>
        <w:tc>
          <w:tcPr>
            <w:tcW w:w="450" w:type="dxa"/>
            <w:noWrap w:val="0"/>
            <w:vAlign w:val="center"/>
          </w:tcPr>
          <w:p w14:paraId="4820D764">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p>
        </w:tc>
        <w:tc>
          <w:tcPr>
            <w:tcW w:w="360" w:type="dxa"/>
            <w:noWrap w:val="0"/>
            <w:vAlign w:val="center"/>
          </w:tcPr>
          <w:p w14:paraId="7AC6E2A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pacing w:val="1"/>
                <w:sz w:val="15"/>
                <w:szCs w:val="15"/>
                <w:vertAlign w:val="baseline"/>
                <w:lang w:val="en-US" w:eastAsia="zh-CN"/>
              </w:rPr>
            </w:pPr>
          </w:p>
        </w:tc>
      </w:tr>
      <w:tr w14:paraId="78344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8" w:hRule="atLeast"/>
        </w:trPr>
        <w:tc>
          <w:tcPr>
            <w:tcW w:w="453" w:type="dxa"/>
            <w:noWrap w:val="0"/>
            <w:vAlign w:val="center"/>
          </w:tcPr>
          <w:p w14:paraId="2EFF84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15"/>
                <w:szCs w:val="15"/>
                <w:vertAlign w:val="baseline"/>
                <w:lang w:val="en-US" w:eastAsia="zh-CN"/>
              </w:rPr>
              <w:t>3</w:t>
            </w:r>
          </w:p>
        </w:tc>
        <w:tc>
          <w:tcPr>
            <w:tcW w:w="2284" w:type="dxa"/>
            <w:noWrap w:val="0"/>
            <w:vAlign w:val="center"/>
          </w:tcPr>
          <w:p w14:paraId="22F60A8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对农业普查对象拒绝或者妨碍普查办公室、普查人员依法进行调查；提供虚假或者不完整的农业普查资料；未按时提供与农业普查有关的资料，经催报后仍未提供；拒绝、推诿和阻挠依法进行的农业普查执法检查；在接受农业普查执法检查时，转移、隐匿、篡改、毁弃原始记录、统计台账、普查表、会计资料及其他相关资料的处罚</w:t>
            </w:r>
          </w:p>
        </w:tc>
        <w:tc>
          <w:tcPr>
            <w:tcW w:w="855" w:type="dxa"/>
            <w:noWrap w:val="0"/>
            <w:vAlign w:val="center"/>
          </w:tcPr>
          <w:p w14:paraId="14D0C5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行政处罚</w:t>
            </w:r>
          </w:p>
        </w:tc>
        <w:tc>
          <w:tcPr>
            <w:tcW w:w="1110" w:type="dxa"/>
            <w:noWrap w:val="0"/>
            <w:vAlign w:val="center"/>
          </w:tcPr>
          <w:p w14:paraId="6827C1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肃南裕固族自治县统计局</w:t>
            </w:r>
          </w:p>
        </w:tc>
        <w:tc>
          <w:tcPr>
            <w:tcW w:w="1065" w:type="dxa"/>
            <w:noWrap w:val="0"/>
            <w:vAlign w:val="center"/>
          </w:tcPr>
          <w:p w14:paraId="076D31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w:t>
            </w:r>
          </w:p>
        </w:tc>
        <w:tc>
          <w:tcPr>
            <w:tcW w:w="690" w:type="dxa"/>
            <w:noWrap w:val="0"/>
            <w:vAlign w:val="center"/>
          </w:tcPr>
          <w:p w14:paraId="2EF009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21"/>
                <w:szCs w:val="21"/>
                <w:vertAlign w:val="baseline"/>
                <w:lang w:val="en-US" w:eastAsia="zh-CN"/>
              </w:rPr>
              <w:t>县级</w:t>
            </w:r>
          </w:p>
        </w:tc>
        <w:tc>
          <w:tcPr>
            <w:tcW w:w="5305" w:type="dxa"/>
            <w:noWrap w:val="0"/>
            <w:vAlign w:val="center"/>
          </w:tcPr>
          <w:p w14:paraId="70F2E7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《全国农业普查条例》 国务院令第473号 2006年8月23日</w:t>
            </w:r>
          </w:p>
          <w:p w14:paraId="488FF9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第三十九条　农业普查对象有下列违法行为之一的，由县级以上人民政府统计机构或者国家统计局派出的调查队责令改正，给予通报批评；</w:t>
            </w:r>
          </w:p>
          <w:p w14:paraId="7B5D28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（一）拒绝或者妨碍普查办公室、普查人员依法进行调查的；</w:t>
            </w:r>
          </w:p>
          <w:p w14:paraId="1EA211A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（二）提供虚假或者不完整的农业普查资料的；</w:t>
            </w:r>
          </w:p>
          <w:p w14:paraId="00D033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（三）未按时提供与农业普查有关的资料，经催报后仍未提供的；</w:t>
            </w:r>
          </w:p>
          <w:p w14:paraId="4128E2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（四）拒绝、推诿和阻挠依法进行的农业普查执法检查的；</w:t>
            </w:r>
          </w:p>
          <w:p w14:paraId="2BD1E2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（五）在接受农业普查执法检查时，转移、隐匿、篡改、毁弃原始记录、统计台账、普查表、会计资料及其他相关资料的。</w:t>
            </w:r>
          </w:p>
          <w:p w14:paraId="18A46DF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农业生产经营单位有前款所列违法行为之一的，由县级以上人民政府统计机构或者国家统计局派出的调查队予以警告，并可以处5万元以下罚款；</w:t>
            </w:r>
          </w:p>
          <w:p w14:paraId="34A238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农业生产经营户有前款所列违法行为之一的，由县级以上人民政府统计机构或者国家统计局派出的调查队予以警告，并可以处1万元以下罚款。</w:t>
            </w:r>
          </w:p>
        </w:tc>
        <w:tc>
          <w:tcPr>
            <w:tcW w:w="425" w:type="dxa"/>
            <w:noWrap w:val="0"/>
            <w:vAlign w:val="center"/>
          </w:tcPr>
          <w:p w14:paraId="3BD365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21"/>
                <w:szCs w:val="21"/>
                <w:vertAlign w:val="baseline"/>
                <w:lang w:val="en-US" w:eastAsia="zh-CN"/>
              </w:rPr>
              <w:t>统计行政法规</w:t>
            </w:r>
          </w:p>
        </w:tc>
        <w:tc>
          <w:tcPr>
            <w:tcW w:w="495" w:type="dxa"/>
            <w:noWrap w:val="0"/>
            <w:vAlign w:val="center"/>
          </w:tcPr>
          <w:p w14:paraId="6F95D9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p>
        </w:tc>
        <w:tc>
          <w:tcPr>
            <w:tcW w:w="435" w:type="dxa"/>
            <w:noWrap w:val="0"/>
            <w:vAlign w:val="center"/>
          </w:tcPr>
          <w:p w14:paraId="2E804EB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p>
        </w:tc>
        <w:tc>
          <w:tcPr>
            <w:tcW w:w="450" w:type="dxa"/>
            <w:noWrap w:val="0"/>
            <w:vAlign w:val="center"/>
          </w:tcPr>
          <w:p w14:paraId="6443562D">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p>
        </w:tc>
        <w:tc>
          <w:tcPr>
            <w:tcW w:w="360" w:type="dxa"/>
            <w:noWrap w:val="0"/>
            <w:vAlign w:val="center"/>
          </w:tcPr>
          <w:p w14:paraId="40FA202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pacing w:val="1"/>
                <w:sz w:val="15"/>
                <w:szCs w:val="15"/>
                <w:vertAlign w:val="baseline"/>
                <w:lang w:val="en-US" w:eastAsia="zh-CN"/>
              </w:rPr>
            </w:pPr>
          </w:p>
        </w:tc>
      </w:tr>
      <w:tr w14:paraId="097A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4" w:hRule="atLeast"/>
        </w:trPr>
        <w:tc>
          <w:tcPr>
            <w:tcW w:w="453" w:type="dxa"/>
            <w:noWrap w:val="0"/>
            <w:vAlign w:val="center"/>
          </w:tcPr>
          <w:p w14:paraId="365271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15"/>
                <w:szCs w:val="15"/>
                <w:vertAlign w:val="baseline"/>
                <w:lang w:val="en-US" w:eastAsia="zh-CN"/>
              </w:rPr>
              <w:t>4</w:t>
            </w:r>
          </w:p>
        </w:tc>
        <w:tc>
          <w:tcPr>
            <w:tcW w:w="2284" w:type="dxa"/>
            <w:noWrap w:val="0"/>
            <w:vAlign w:val="center"/>
          </w:tcPr>
          <w:p w14:paraId="67172DF4">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对经济普查对象拒绝或者妨碍接受经济普查机构、经济普查人员依法进行的调查；提供虚假或者不完整的经济普查资料；未按时提供与经济普查有关的资料，经催报后仍未提供的处罚</w:t>
            </w:r>
          </w:p>
        </w:tc>
        <w:tc>
          <w:tcPr>
            <w:tcW w:w="855" w:type="dxa"/>
            <w:noWrap w:val="0"/>
            <w:vAlign w:val="center"/>
          </w:tcPr>
          <w:p w14:paraId="52CC13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行政处罚</w:t>
            </w:r>
          </w:p>
        </w:tc>
        <w:tc>
          <w:tcPr>
            <w:tcW w:w="1110" w:type="dxa"/>
            <w:noWrap w:val="0"/>
            <w:vAlign w:val="center"/>
          </w:tcPr>
          <w:p w14:paraId="0B4BFE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肃南裕固族自治县统计局</w:t>
            </w:r>
          </w:p>
        </w:tc>
        <w:tc>
          <w:tcPr>
            <w:tcW w:w="1065" w:type="dxa"/>
            <w:noWrap w:val="0"/>
            <w:vAlign w:val="center"/>
          </w:tcPr>
          <w:p w14:paraId="276E87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w:t>
            </w:r>
          </w:p>
        </w:tc>
        <w:tc>
          <w:tcPr>
            <w:tcW w:w="690" w:type="dxa"/>
            <w:noWrap w:val="0"/>
            <w:vAlign w:val="center"/>
          </w:tcPr>
          <w:p w14:paraId="2E73E4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21"/>
                <w:szCs w:val="21"/>
                <w:vertAlign w:val="baseline"/>
                <w:lang w:val="en-US" w:eastAsia="zh-CN"/>
              </w:rPr>
              <w:t>县级</w:t>
            </w:r>
          </w:p>
        </w:tc>
        <w:tc>
          <w:tcPr>
            <w:tcW w:w="5305" w:type="dxa"/>
            <w:noWrap w:val="0"/>
            <w:vAlign w:val="center"/>
          </w:tcPr>
          <w:p w14:paraId="0FDA3D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《全国经济普查条例》 国务院令第415号 2004年9月5日</w:t>
            </w:r>
          </w:p>
          <w:p w14:paraId="47F7398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第三十六条 经济普查对象有下列违法行为之一的，由县级以上人民政府统计机构责令改正，给予通报批评；</w:t>
            </w:r>
          </w:p>
          <w:p w14:paraId="68D7B95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（一）拒绝或者妨碍接受经济普查机构、经济普查人员依法进行的调查的；</w:t>
            </w:r>
          </w:p>
          <w:p w14:paraId="7B89C8D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（二）提供虚假或者不完整的经济普查资料的；</w:t>
            </w:r>
          </w:p>
          <w:p w14:paraId="7CB3E8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（三）未按时提供与经济普查有关的资料，经催报后仍未提供的。</w:t>
            </w:r>
          </w:p>
          <w:p w14:paraId="1F3DCD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企业事业组织有前款所列违法行为之一的，由县级以上人民政府统计机构给予警告，并可以处5万元以下罚款；</w:t>
            </w:r>
          </w:p>
          <w:p w14:paraId="02F93D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个体经营户有前款所列违法行为之一的，由县级以上人民政府统计机构给予警告，并可以处1万元以下罚款。</w:t>
            </w:r>
          </w:p>
        </w:tc>
        <w:tc>
          <w:tcPr>
            <w:tcW w:w="425" w:type="dxa"/>
            <w:noWrap w:val="0"/>
            <w:vAlign w:val="center"/>
          </w:tcPr>
          <w:p w14:paraId="01DE5C6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21"/>
                <w:szCs w:val="21"/>
                <w:vertAlign w:val="baseline"/>
                <w:lang w:val="en-US" w:eastAsia="zh-CN"/>
              </w:rPr>
              <w:t>统计行政法规</w:t>
            </w:r>
          </w:p>
        </w:tc>
        <w:tc>
          <w:tcPr>
            <w:tcW w:w="495" w:type="dxa"/>
            <w:noWrap w:val="0"/>
            <w:vAlign w:val="center"/>
          </w:tcPr>
          <w:p w14:paraId="2901211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p>
        </w:tc>
        <w:tc>
          <w:tcPr>
            <w:tcW w:w="435" w:type="dxa"/>
            <w:noWrap w:val="0"/>
            <w:vAlign w:val="center"/>
          </w:tcPr>
          <w:p w14:paraId="7C4A21C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p>
        </w:tc>
        <w:tc>
          <w:tcPr>
            <w:tcW w:w="450" w:type="dxa"/>
            <w:noWrap w:val="0"/>
            <w:vAlign w:val="center"/>
          </w:tcPr>
          <w:p w14:paraId="58AD149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p>
        </w:tc>
        <w:tc>
          <w:tcPr>
            <w:tcW w:w="360" w:type="dxa"/>
            <w:noWrap w:val="0"/>
            <w:vAlign w:val="center"/>
          </w:tcPr>
          <w:p w14:paraId="325B682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pacing w:val="1"/>
                <w:sz w:val="15"/>
                <w:szCs w:val="15"/>
                <w:vertAlign w:val="baseline"/>
                <w:lang w:val="en-US" w:eastAsia="zh-CN"/>
              </w:rPr>
            </w:pPr>
          </w:p>
        </w:tc>
      </w:tr>
      <w:tr w14:paraId="63F37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5" w:hRule="atLeast"/>
        </w:trPr>
        <w:tc>
          <w:tcPr>
            <w:tcW w:w="453" w:type="dxa"/>
            <w:noWrap w:val="0"/>
            <w:vAlign w:val="center"/>
          </w:tcPr>
          <w:p w14:paraId="1BF61CE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15"/>
                <w:szCs w:val="15"/>
                <w:vertAlign w:val="baseline"/>
                <w:lang w:val="en-US" w:eastAsia="zh-CN"/>
              </w:rPr>
              <w:t>5</w:t>
            </w:r>
          </w:p>
        </w:tc>
        <w:tc>
          <w:tcPr>
            <w:tcW w:w="2284" w:type="dxa"/>
            <w:noWrap w:val="0"/>
            <w:vAlign w:val="center"/>
          </w:tcPr>
          <w:p w14:paraId="3453BC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对伪造、变造或者冒用统计调查证的处罚</w:t>
            </w:r>
          </w:p>
        </w:tc>
        <w:tc>
          <w:tcPr>
            <w:tcW w:w="855" w:type="dxa"/>
            <w:noWrap w:val="0"/>
            <w:vAlign w:val="center"/>
          </w:tcPr>
          <w:p w14:paraId="216A16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行政处罚</w:t>
            </w:r>
          </w:p>
        </w:tc>
        <w:tc>
          <w:tcPr>
            <w:tcW w:w="1110" w:type="dxa"/>
            <w:noWrap w:val="0"/>
            <w:vAlign w:val="center"/>
          </w:tcPr>
          <w:p w14:paraId="261606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肃南裕固族自治县统计局</w:t>
            </w:r>
          </w:p>
        </w:tc>
        <w:tc>
          <w:tcPr>
            <w:tcW w:w="1065" w:type="dxa"/>
            <w:noWrap w:val="0"/>
            <w:vAlign w:val="center"/>
          </w:tcPr>
          <w:p w14:paraId="77A6F7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肃南裕固族自治县</w:t>
            </w:r>
          </w:p>
        </w:tc>
        <w:tc>
          <w:tcPr>
            <w:tcW w:w="690" w:type="dxa"/>
            <w:noWrap w:val="0"/>
            <w:vAlign w:val="center"/>
          </w:tcPr>
          <w:p w14:paraId="7A2947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21"/>
                <w:szCs w:val="21"/>
                <w:vertAlign w:val="baseline"/>
                <w:lang w:val="en-US" w:eastAsia="zh-CN"/>
              </w:rPr>
              <w:t>县级</w:t>
            </w:r>
          </w:p>
        </w:tc>
        <w:tc>
          <w:tcPr>
            <w:tcW w:w="5305" w:type="dxa"/>
            <w:noWrap w:val="0"/>
            <w:vAlign w:val="center"/>
          </w:tcPr>
          <w:p w14:paraId="0A13F7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21"/>
                <w:szCs w:val="21"/>
                <w:vertAlign w:val="baseline"/>
                <w:lang w:val="en-US" w:eastAsia="zh-CN"/>
              </w:rPr>
            </w:pPr>
            <w:r>
              <w:rPr>
                <w:rFonts w:hint="eastAsia" w:ascii="宋体" w:hAnsi="宋体" w:eastAsia="宋体" w:cs="宋体"/>
                <w:b w:val="0"/>
                <w:bCs w:val="0"/>
                <w:spacing w:val="1"/>
                <w:sz w:val="21"/>
                <w:szCs w:val="21"/>
                <w:vertAlign w:val="baseline"/>
                <w:lang w:val="en-US" w:eastAsia="zh-CN"/>
              </w:rPr>
              <w:t>统计调查证管理办法》（国家统计局令第19号）  第十二条　任何单位违反本办法规定，伪造、变造或者冒用统计调查证的，由县级以上人民政府统计机构责令改正，予以警告，予以通报。对非经营活动中发生上述违法行为的，还可以处1000元以下的罚款。对经营活动中发生上述违法行为，有违法所得的，可以处违法所得1倍以上3倍以下但不超过3万元的罚款；没有违法所得，还可以处1万元以下的罚款。</w:t>
            </w:r>
          </w:p>
          <w:p w14:paraId="23DDF2E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eastAsia="宋体" w:cs="宋体"/>
                <w:b w:val="0"/>
                <w:bCs w:val="0"/>
                <w:spacing w:val="1"/>
                <w:sz w:val="21"/>
                <w:szCs w:val="21"/>
                <w:vertAlign w:val="baseline"/>
                <w:lang w:val="en-US" w:eastAsia="zh-CN"/>
              </w:rPr>
              <w:t xml:space="preserve"> </w:t>
            </w:r>
            <w:r>
              <w:rPr>
                <w:rFonts w:hint="eastAsia" w:ascii="宋体" w:hAnsi="宋体" w:cs="宋体"/>
                <w:b w:val="0"/>
                <w:bCs w:val="0"/>
                <w:spacing w:val="1"/>
                <w:sz w:val="21"/>
                <w:szCs w:val="21"/>
                <w:vertAlign w:val="baseline"/>
                <w:lang w:val="en-US" w:eastAsia="zh-CN"/>
              </w:rPr>
              <w:t xml:space="preserve">   </w:t>
            </w:r>
            <w:r>
              <w:rPr>
                <w:rFonts w:hint="eastAsia" w:ascii="宋体" w:hAnsi="宋体" w:eastAsia="宋体" w:cs="宋体"/>
                <w:b w:val="0"/>
                <w:bCs w:val="0"/>
                <w:spacing w:val="1"/>
                <w:sz w:val="21"/>
                <w:szCs w:val="21"/>
                <w:vertAlign w:val="baseline"/>
                <w:lang w:val="en-US" w:eastAsia="zh-CN"/>
              </w:rPr>
              <w:t>对有前款违法行为的有关责任人员，由县级以上人民政府统计机构责令改正予以警告，可以予以通报，可以处1000元以下的罚款；构成违反治安管理行为的，依法予以治安管理处罚；构成犯罪的，依法追究刑事责任。</w:t>
            </w:r>
          </w:p>
        </w:tc>
        <w:tc>
          <w:tcPr>
            <w:tcW w:w="425" w:type="dxa"/>
            <w:noWrap w:val="0"/>
            <w:vAlign w:val="center"/>
          </w:tcPr>
          <w:p w14:paraId="37D039D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p>
        </w:tc>
        <w:tc>
          <w:tcPr>
            <w:tcW w:w="495" w:type="dxa"/>
            <w:noWrap w:val="0"/>
            <w:vAlign w:val="center"/>
          </w:tcPr>
          <w:p w14:paraId="552E86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p>
        </w:tc>
        <w:tc>
          <w:tcPr>
            <w:tcW w:w="435" w:type="dxa"/>
            <w:noWrap w:val="0"/>
            <w:vAlign w:val="center"/>
          </w:tcPr>
          <w:p w14:paraId="3417E6D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pacing w:val="1"/>
                <w:sz w:val="15"/>
                <w:szCs w:val="15"/>
                <w:vertAlign w:val="baseline"/>
                <w:lang w:val="en-US" w:eastAsia="zh-CN"/>
              </w:rPr>
            </w:pPr>
            <w:r>
              <w:rPr>
                <w:rFonts w:hint="eastAsia" w:ascii="宋体" w:hAnsi="宋体" w:cs="宋体"/>
                <w:b w:val="0"/>
                <w:bCs w:val="0"/>
                <w:spacing w:val="1"/>
                <w:sz w:val="21"/>
                <w:szCs w:val="21"/>
                <w:vertAlign w:val="baseline"/>
                <w:lang w:val="en-US" w:eastAsia="zh-CN"/>
              </w:rPr>
              <w:t>统计行政规章</w:t>
            </w:r>
          </w:p>
        </w:tc>
        <w:tc>
          <w:tcPr>
            <w:tcW w:w="450" w:type="dxa"/>
            <w:noWrap w:val="0"/>
            <w:vAlign w:val="center"/>
          </w:tcPr>
          <w:p w14:paraId="67AC1A31">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spacing w:val="1"/>
                <w:sz w:val="15"/>
                <w:szCs w:val="15"/>
                <w:vertAlign w:val="baseline"/>
                <w:lang w:val="en-US" w:eastAsia="zh-CN"/>
              </w:rPr>
            </w:pPr>
          </w:p>
        </w:tc>
        <w:tc>
          <w:tcPr>
            <w:tcW w:w="360" w:type="dxa"/>
            <w:noWrap w:val="0"/>
            <w:vAlign w:val="center"/>
          </w:tcPr>
          <w:p w14:paraId="319FC85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pacing w:val="1"/>
                <w:sz w:val="15"/>
                <w:szCs w:val="15"/>
                <w:vertAlign w:val="baseline"/>
                <w:lang w:val="en-US" w:eastAsia="zh-CN"/>
              </w:rPr>
            </w:pPr>
          </w:p>
        </w:tc>
      </w:tr>
    </w:tbl>
    <w:p w14:paraId="1F9ACAD9">
      <w:pPr>
        <w:keepNext w:val="0"/>
        <w:keepLines w:val="0"/>
        <w:pageBreakBefore w:val="0"/>
        <w:widowControl w:val="0"/>
        <w:kinsoku/>
        <w:wordWrap/>
        <w:overflowPunct/>
        <w:topLinePunct w:val="0"/>
        <w:autoSpaceDE/>
        <w:autoSpaceDN/>
        <w:bidi w:val="0"/>
        <w:adjustRightInd/>
        <w:snapToGrid/>
        <w:spacing w:line="200" w:lineRule="exact"/>
        <w:ind w:firstLine="640" w:firstLineChars="200"/>
        <w:jc w:val="left"/>
        <w:textAlignment w:val="auto"/>
        <w:rPr>
          <w:rFonts w:hint="eastAsia" w:ascii="仿宋_GB2312" w:hAnsi="仿宋_GB2312" w:eastAsia="仿宋_GB2312" w:cs="仿宋_GB2312"/>
          <w:sz w:val="32"/>
          <w:szCs w:val="32"/>
        </w:rPr>
      </w:pPr>
    </w:p>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DBF85">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kNjE4OTAyYWVhODNiZThhMmY4ZjIyYTQxZTBmZjQifQ=="/>
    <w:docVar w:name="KGWebUrl" w:val="http://10.40.3.10:80/seeyon/officeservlet"/>
    <w:docVar w:name="KSO_WPS_MARK_KEY" w:val="bb554572-23f5-412a-9ac5-8a2cb38b0d5f"/>
  </w:docVars>
  <w:rsids>
    <w:rsidRoot w:val="559159AE"/>
    <w:rsid w:val="02857AAE"/>
    <w:rsid w:val="03150E74"/>
    <w:rsid w:val="03ED6D9A"/>
    <w:rsid w:val="04567081"/>
    <w:rsid w:val="047F2DBA"/>
    <w:rsid w:val="05376798"/>
    <w:rsid w:val="06314CE4"/>
    <w:rsid w:val="07BF3773"/>
    <w:rsid w:val="07E9598A"/>
    <w:rsid w:val="07EF7B23"/>
    <w:rsid w:val="096171A8"/>
    <w:rsid w:val="09964C81"/>
    <w:rsid w:val="0B604DF8"/>
    <w:rsid w:val="0D834950"/>
    <w:rsid w:val="0E573908"/>
    <w:rsid w:val="0EFD5CAB"/>
    <w:rsid w:val="0F8B118C"/>
    <w:rsid w:val="0FED1671"/>
    <w:rsid w:val="1020364C"/>
    <w:rsid w:val="10A84DD0"/>
    <w:rsid w:val="11C8041F"/>
    <w:rsid w:val="121403DE"/>
    <w:rsid w:val="12223763"/>
    <w:rsid w:val="12D66EED"/>
    <w:rsid w:val="12E90B0E"/>
    <w:rsid w:val="134A5F72"/>
    <w:rsid w:val="13C777E4"/>
    <w:rsid w:val="146463A3"/>
    <w:rsid w:val="149B36E8"/>
    <w:rsid w:val="14A31A2C"/>
    <w:rsid w:val="15701130"/>
    <w:rsid w:val="17BF2493"/>
    <w:rsid w:val="188F53C5"/>
    <w:rsid w:val="18F22DA6"/>
    <w:rsid w:val="198F769D"/>
    <w:rsid w:val="1ABE4D7B"/>
    <w:rsid w:val="1BD423A9"/>
    <w:rsid w:val="1F8D1BF3"/>
    <w:rsid w:val="203022E2"/>
    <w:rsid w:val="21136BD6"/>
    <w:rsid w:val="212E36AB"/>
    <w:rsid w:val="220A5C80"/>
    <w:rsid w:val="225B09D5"/>
    <w:rsid w:val="228D298C"/>
    <w:rsid w:val="248941B2"/>
    <w:rsid w:val="24F73665"/>
    <w:rsid w:val="25BD38F3"/>
    <w:rsid w:val="26C877C8"/>
    <w:rsid w:val="27AC39A7"/>
    <w:rsid w:val="284B78D3"/>
    <w:rsid w:val="29D208A8"/>
    <w:rsid w:val="2C7A1206"/>
    <w:rsid w:val="2DE03215"/>
    <w:rsid w:val="2EED2091"/>
    <w:rsid w:val="2F5C759A"/>
    <w:rsid w:val="2F6F30B9"/>
    <w:rsid w:val="2F9D9A66"/>
    <w:rsid w:val="2FAA3579"/>
    <w:rsid w:val="310B4AD2"/>
    <w:rsid w:val="31256AAF"/>
    <w:rsid w:val="316E466C"/>
    <w:rsid w:val="3189329D"/>
    <w:rsid w:val="325543FF"/>
    <w:rsid w:val="335D052C"/>
    <w:rsid w:val="3644123B"/>
    <w:rsid w:val="36521754"/>
    <w:rsid w:val="366962FE"/>
    <w:rsid w:val="36A66DD2"/>
    <w:rsid w:val="37534CB7"/>
    <w:rsid w:val="37D53615"/>
    <w:rsid w:val="38117A7C"/>
    <w:rsid w:val="3B3B6A7B"/>
    <w:rsid w:val="3C880788"/>
    <w:rsid w:val="3D51446B"/>
    <w:rsid w:val="3F430F06"/>
    <w:rsid w:val="3FDBB573"/>
    <w:rsid w:val="3FFD6F52"/>
    <w:rsid w:val="4040587A"/>
    <w:rsid w:val="406E7CD8"/>
    <w:rsid w:val="43A25B35"/>
    <w:rsid w:val="45990AE3"/>
    <w:rsid w:val="45A35ABF"/>
    <w:rsid w:val="46695BF7"/>
    <w:rsid w:val="47232FF7"/>
    <w:rsid w:val="496A598D"/>
    <w:rsid w:val="4A066202"/>
    <w:rsid w:val="4A5C34AB"/>
    <w:rsid w:val="4A705C3D"/>
    <w:rsid w:val="4AB83A8C"/>
    <w:rsid w:val="4AEF6FBF"/>
    <w:rsid w:val="4AF77E1F"/>
    <w:rsid w:val="4B501E62"/>
    <w:rsid w:val="4B51629E"/>
    <w:rsid w:val="4C12165B"/>
    <w:rsid w:val="4CE828A0"/>
    <w:rsid w:val="4F8929D9"/>
    <w:rsid w:val="4F9D42B5"/>
    <w:rsid w:val="4FFD558B"/>
    <w:rsid w:val="4FFF9F48"/>
    <w:rsid w:val="503C74B8"/>
    <w:rsid w:val="510A7F1C"/>
    <w:rsid w:val="51B66854"/>
    <w:rsid w:val="52113663"/>
    <w:rsid w:val="52CB030A"/>
    <w:rsid w:val="52FC2A91"/>
    <w:rsid w:val="53225B66"/>
    <w:rsid w:val="53475B2E"/>
    <w:rsid w:val="546362E4"/>
    <w:rsid w:val="54F0500A"/>
    <w:rsid w:val="559159AE"/>
    <w:rsid w:val="55DA0263"/>
    <w:rsid w:val="560532F4"/>
    <w:rsid w:val="5631035D"/>
    <w:rsid w:val="5639584F"/>
    <w:rsid w:val="57AE09AD"/>
    <w:rsid w:val="588562CF"/>
    <w:rsid w:val="5892557A"/>
    <w:rsid w:val="59F6416A"/>
    <w:rsid w:val="5B395C60"/>
    <w:rsid w:val="5BF410E1"/>
    <w:rsid w:val="5C322A69"/>
    <w:rsid w:val="5D021CEC"/>
    <w:rsid w:val="5D7107F5"/>
    <w:rsid w:val="5E7D301B"/>
    <w:rsid w:val="5F1238ED"/>
    <w:rsid w:val="5F135E52"/>
    <w:rsid w:val="5FBC6930"/>
    <w:rsid w:val="5FE46D28"/>
    <w:rsid w:val="60A216FE"/>
    <w:rsid w:val="60D42185"/>
    <w:rsid w:val="61E8018F"/>
    <w:rsid w:val="625628A5"/>
    <w:rsid w:val="62D12CFF"/>
    <w:rsid w:val="63045820"/>
    <w:rsid w:val="64105B68"/>
    <w:rsid w:val="649318A5"/>
    <w:rsid w:val="6510084C"/>
    <w:rsid w:val="65546AC6"/>
    <w:rsid w:val="65FAAA07"/>
    <w:rsid w:val="677FF5FF"/>
    <w:rsid w:val="678D6255"/>
    <w:rsid w:val="67964D18"/>
    <w:rsid w:val="695B534E"/>
    <w:rsid w:val="6A8C0599"/>
    <w:rsid w:val="6AC911FE"/>
    <w:rsid w:val="6B89600D"/>
    <w:rsid w:val="6C9910AF"/>
    <w:rsid w:val="6DCB2672"/>
    <w:rsid w:val="6DEF50CF"/>
    <w:rsid w:val="6E886CE5"/>
    <w:rsid w:val="6EE16972"/>
    <w:rsid w:val="6FB73C29"/>
    <w:rsid w:val="70536D59"/>
    <w:rsid w:val="713D3599"/>
    <w:rsid w:val="717F53CE"/>
    <w:rsid w:val="71977904"/>
    <w:rsid w:val="72101204"/>
    <w:rsid w:val="72A32D96"/>
    <w:rsid w:val="7371259E"/>
    <w:rsid w:val="73D3104F"/>
    <w:rsid w:val="73D73CBA"/>
    <w:rsid w:val="73D824A4"/>
    <w:rsid w:val="746E7DE1"/>
    <w:rsid w:val="771B5713"/>
    <w:rsid w:val="779F111E"/>
    <w:rsid w:val="780D0BDF"/>
    <w:rsid w:val="7B386EB2"/>
    <w:rsid w:val="7B77B488"/>
    <w:rsid w:val="7B84384C"/>
    <w:rsid w:val="7C30729E"/>
    <w:rsid w:val="7C8E4EE3"/>
    <w:rsid w:val="7C920EE5"/>
    <w:rsid w:val="7E804466"/>
    <w:rsid w:val="7F5C792C"/>
    <w:rsid w:val="7F9762C7"/>
    <w:rsid w:val="9FDF0BCA"/>
    <w:rsid w:val="9FF093D0"/>
    <w:rsid w:val="B6BFF545"/>
    <w:rsid w:val="B777B850"/>
    <w:rsid w:val="B96F784E"/>
    <w:rsid w:val="E5F7F582"/>
    <w:rsid w:val="EE7D2D88"/>
    <w:rsid w:val="F6FDBD00"/>
    <w:rsid w:val="FA9B1509"/>
    <w:rsid w:val="FB9FE9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index 6"/>
    <w:basedOn w:val="1"/>
    <w:next w:val="1"/>
    <w:semiHidden/>
    <w:qFormat/>
    <w:uiPriority w:val="99"/>
    <w:pPr>
      <w:ind w:left="1000" w:leftChars="1000"/>
    </w:p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2220</Words>
  <Characters>2258</Characters>
  <Lines>0</Lines>
  <Paragraphs>0</Paragraphs>
  <TotalTime>21.6666666666667</TotalTime>
  <ScaleCrop>false</ScaleCrop>
  <LinksUpToDate>false</LinksUpToDate>
  <CharactersWithSpaces>2347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2024-09-30T01:10:00Z</dcterms:created>
  <dc:creator>司法局-文档员</dc:creator>
  <cp:lastModifiedBy>哈尔布鲁德安</cp:lastModifiedBy>
  <dcterms:modified xsi:type="dcterms:W3CDTF">2024-10-25T09:32:20Z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4E2EF61F798142D590EE7F01BC2C030D_13</vt:lpwstr>
  </property>
</Properties>
</file>